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50B2B1">
      <w:pPr>
        <w:wordWrap w:val="0"/>
        <w:spacing w:line="276" w:lineRule="auto"/>
        <w:jc w:val="center"/>
        <w:rPr>
          <w:rFonts w:hint="default" w:ascii="宋体" w:hAnsi="宋体" w:eastAsia="宋体" w:cs="宋体"/>
          <w:bCs/>
          <w:sz w:val="22"/>
          <w:szCs w:val="22"/>
          <w:lang w:val="en-US"/>
        </w:rPr>
      </w:pPr>
      <w:r>
        <w:rPr>
          <w:rFonts w:hint="eastAsia" w:ascii="方正小标宋简体" w:hAnsi="方正小标宋简体" w:eastAsia="方正小标宋简体" w:cs="方正小标宋简体"/>
          <w:b w:val="0"/>
          <w:bCs/>
          <w:sz w:val="32"/>
          <w:szCs w:val="32"/>
          <w:lang w:val="en-US" w:eastAsia="zh-CN"/>
        </w:rPr>
        <w:t>成都石化工业学校2026年教职工秋游活动评分细则</w:t>
      </w:r>
    </w:p>
    <w:tbl>
      <w:tblPr>
        <w:tblStyle w:val="8"/>
        <w:tblW w:w="9550" w:type="dxa"/>
        <w:tblInd w:w="-15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230"/>
        <w:gridCol w:w="839"/>
        <w:gridCol w:w="5581"/>
        <w:gridCol w:w="1225"/>
      </w:tblGrid>
      <w:tr w14:paraId="7084E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9" w:hRule="atLeast"/>
        </w:trPr>
        <w:tc>
          <w:tcPr>
            <w:tcW w:w="675" w:type="dxa"/>
            <w:tcBorders>
              <w:top w:val="single" w:color="auto" w:sz="4" w:space="0"/>
              <w:left w:val="single" w:color="auto" w:sz="4" w:space="0"/>
              <w:bottom w:val="single" w:color="auto" w:sz="4" w:space="0"/>
              <w:right w:val="single" w:color="auto" w:sz="4" w:space="0"/>
            </w:tcBorders>
            <w:vAlign w:val="center"/>
          </w:tcPr>
          <w:p w14:paraId="4D81D5F2">
            <w:pPr>
              <w:pStyle w:val="2"/>
              <w:ind w:left="0" w:leftChars="0" w:firstLine="0" w:firstLineChars="0"/>
              <w:jc w:val="both"/>
              <w:rPr>
                <w:rFonts w:hint="eastAsia" w:ascii="宋体" w:hAnsi="宋体" w:eastAsia="宋体" w:cs="宋体"/>
                <w:b/>
                <w:bCs w:val="0"/>
                <w:kern w:val="2"/>
                <w:sz w:val="22"/>
                <w:szCs w:val="22"/>
                <w:lang w:val="en-US" w:eastAsia="zh-CN" w:bidi="ar-SA"/>
              </w:rPr>
            </w:pPr>
            <w:r>
              <w:rPr>
                <w:rFonts w:hint="eastAsia" w:ascii="宋体" w:hAnsi="宋体" w:eastAsia="宋体" w:cs="宋体"/>
                <w:b/>
                <w:bCs w:val="0"/>
                <w:kern w:val="2"/>
                <w:sz w:val="22"/>
                <w:szCs w:val="22"/>
                <w:lang w:val="en-US" w:eastAsia="zh-CN" w:bidi="ar-SA"/>
              </w:rPr>
              <w:t>序号</w:t>
            </w:r>
          </w:p>
        </w:tc>
        <w:tc>
          <w:tcPr>
            <w:tcW w:w="1230" w:type="dxa"/>
            <w:tcBorders>
              <w:top w:val="single" w:color="auto" w:sz="4" w:space="0"/>
              <w:left w:val="single" w:color="auto" w:sz="4" w:space="0"/>
              <w:bottom w:val="single" w:color="auto" w:sz="4" w:space="0"/>
              <w:right w:val="single" w:color="auto" w:sz="4" w:space="0"/>
            </w:tcBorders>
            <w:vAlign w:val="center"/>
          </w:tcPr>
          <w:p w14:paraId="06754E3C">
            <w:pPr>
              <w:wordWrap w:val="0"/>
              <w:spacing w:line="276" w:lineRule="auto"/>
              <w:jc w:val="center"/>
              <w:rPr>
                <w:rFonts w:hint="eastAsia" w:ascii="宋体" w:hAnsi="宋体" w:eastAsia="宋体" w:cs="宋体"/>
                <w:b/>
                <w:bCs w:val="0"/>
                <w:kern w:val="2"/>
                <w:sz w:val="22"/>
                <w:szCs w:val="22"/>
                <w:lang w:val="en-US" w:eastAsia="zh-CN" w:bidi="ar-SA"/>
              </w:rPr>
            </w:pPr>
            <w:r>
              <w:rPr>
                <w:rFonts w:hint="eastAsia" w:ascii="宋体" w:hAnsi="宋体" w:eastAsia="宋体" w:cs="宋体"/>
                <w:b/>
                <w:bCs w:val="0"/>
                <w:kern w:val="2"/>
                <w:sz w:val="22"/>
                <w:szCs w:val="22"/>
                <w:lang w:val="en-US" w:eastAsia="zh-CN" w:bidi="ar-SA"/>
              </w:rPr>
              <w:t>评分因素及权重</w:t>
            </w:r>
          </w:p>
        </w:tc>
        <w:tc>
          <w:tcPr>
            <w:tcW w:w="839" w:type="dxa"/>
            <w:tcBorders>
              <w:top w:val="single" w:color="auto" w:sz="4" w:space="0"/>
              <w:left w:val="single" w:color="auto" w:sz="4" w:space="0"/>
              <w:bottom w:val="single" w:color="auto" w:sz="4" w:space="0"/>
              <w:right w:val="single" w:color="auto" w:sz="4" w:space="0"/>
            </w:tcBorders>
            <w:vAlign w:val="center"/>
          </w:tcPr>
          <w:p w14:paraId="592E7A6A">
            <w:pPr>
              <w:wordWrap w:val="0"/>
              <w:spacing w:line="276" w:lineRule="auto"/>
              <w:jc w:val="center"/>
              <w:rPr>
                <w:rFonts w:hint="eastAsia" w:ascii="宋体" w:hAnsi="宋体" w:eastAsia="宋体" w:cs="宋体"/>
                <w:b/>
                <w:bCs w:val="0"/>
                <w:sz w:val="22"/>
                <w:szCs w:val="22"/>
              </w:rPr>
            </w:pPr>
            <w:r>
              <w:rPr>
                <w:rFonts w:hint="eastAsia" w:ascii="宋体" w:hAnsi="宋体" w:eastAsia="宋体" w:cs="宋体"/>
                <w:b/>
                <w:bCs w:val="0"/>
                <w:sz w:val="22"/>
                <w:szCs w:val="22"/>
              </w:rPr>
              <w:t>分值</w:t>
            </w:r>
          </w:p>
        </w:tc>
        <w:tc>
          <w:tcPr>
            <w:tcW w:w="5581" w:type="dxa"/>
            <w:tcBorders>
              <w:top w:val="single" w:color="auto" w:sz="4" w:space="0"/>
              <w:left w:val="single" w:color="auto" w:sz="4" w:space="0"/>
              <w:bottom w:val="single" w:color="auto" w:sz="4" w:space="0"/>
              <w:right w:val="single" w:color="auto" w:sz="4" w:space="0"/>
            </w:tcBorders>
            <w:vAlign w:val="center"/>
          </w:tcPr>
          <w:p w14:paraId="1CC9BF1D">
            <w:pPr>
              <w:wordWrap w:val="0"/>
              <w:spacing w:line="276" w:lineRule="auto"/>
              <w:jc w:val="center"/>
              <w:rPr>
                <w:rFonts w:hint="eastAsia" w:ascii="宋体" w:hAnsi="宋体" w:eastAsia="宋体" w:cs="宋体"/>
                <w:b/>
                <w:bCs w:val="0"/>
                <w:sz w:val="22"/>
                <w:szCs w:val="22"/>
              </w:rPr>
            </w:pPr>
            <w:r>
              <w:rPr>
                <w:rFonts w:hint="eastAsia" w:ascii="宋体" w:hAnsi="宋体" w:eastAsia="宋体" w:cs="宋体"/>
                <w:b/>
                <w:bCs w:val="0"/>
                <w:sz w:val="22"/>
                <w:szCs w:val="22"/>
              </w:rPr>
              <w:t>评分标准</w:t>
            </w:r>
          </w:p>
        </w:tc>
        <w:tc>
          <w:tcPr>
            <w:tcW w:w="1225" w:type="dxa"/>
            <w:tcBorders>
              <w:top w:val="single" w:color="auto" w:sz="4" w:space="0"/>
              <w:left w:val="single" w:color="auto" w:sz="4" w:space="0"/>
              <w:bottom w:val="single" w:color="auto" w:sz="4" w:space="0"/>
              <w:right w:val="single" w:color="auto" w:sz="4" w:space="0"/>
            </w:tcBorders>
            <w:vAlign w:val="center"/>
          </w:tcPr>
          <w:p w14:paraId="16420B00">
            <w:pPr>
              <w:wordWrap w:val="0"/>
              <w:spacing w:line="276" w:lineRule="auto"/>
              <w:jc w:val="center"/>
              <w:rPr>
                <w:rFonts w:hint="eastAsia" w:ascii="宋体" w:hAnsi="宋体" w:eastAsia="宋体" w:cs="宋体"/>
                <w:b/>
                <w:bCs w:val="0"/>
                <w:sz w:val="22"/>
                <w:szCs w:val="22"/>
              </w:rPr>
            </w:pPr>
            <w:r>
              <w:rPr>
                <w:rFonts w:hint="eastAsia" w:ascii="宋体" w:hAnsi="宋体" w:eastAsia="宋体" w:cs="宋体"/>
                <w:b/>
                <w:bCs w:val="0"/>
                <w:sz w:val="22"/>
                <w:szCs w:val="22"/>
              </w:rPr>
              <w:t>评分因素类别</w:t>
            </w:r>
          </w:p>
        </w:tc>
      </w:tr>
      <w:tr w14:paraId="58E8A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7" w:hRule="atLeast"/>
        </w:trPr>
        <w:tc>
          <w:tcPr>
            <w:tcW w:w="675" w:type="dxa"/>
            <w:tcBorders>
              <w:top w:val="single" w:color="auto" w:sz="4" w:space="0"/>
              <w:left w:val="single" w:color="auto" w:sz="4" w:space="0"/>
              <w:bottom w:val="single" w:color="auto" w:sz="4" w:space="0"/>
              <w:right w:val="single" w:color="auto" w:sz="4" w:space="0"/>
            </w:tcBorders>
            <w:vAlign w:val="center"/>
          </w:tcPr>
          <w:p w14:paraId="0504DC00">
            <w:pPr>
              <w:wordWrap w:val="0"/>
              <w:spacing w:line="276" w:lineRule="auto"/>
              <w:jc w:val="center"/>
              <w:rPr>
                <w:rFonts w:hint="eastAsia" w:ascii="宋体" w:hAnsi="宋体" w:eastAsia="宋体" w:cs="宋体"/>
                <w:bCs/>
                <w:sz w:val="22"/>
                <w:szCs w:val="22"/>
              </w:rPr>
            </w:pPr>
            <w:r>
              <w:rPr>
                <w:rFonts w:hint="eastAsia" w:ascii="宋体" w:hAnsi="宋体" w:eastAsia="宋体" w:cs="宋体"/>
                <w:bCs/>
                <w:sz w:val="22"/>
                <w:szCs w:val="22"/>
              </w:rPr>
              <w:t>1</w:t>
            </w:r>
          </w:p>
        </w:tc>
        <w:tc>
          <w:tcPr>
            <w:tcW w:w="1230" w:type="dxa"/>
            <w:tcBorders>
              <w:top w:val="single" w:color="auto" w:sz="4" w:space="0"/>
              <w:left w:val="single" w:color="auto" w:sz="4" w:space="0"/>
              <w:bottom w:val="single" w:color="auto" w:sz="4" w:space="0"/>
              <w:right w:val="single" w:color="auto" w:sz="4" w:space="0"/>
            </w:tcBorders>
            <w:vAlign w:val="center"/>
          </w:tcPr>
          <w:p w14:paraId="19110897">
            <w:pPr>
              <w:wordWrap w:val="0"/>
              <w:spacing w:line="276" w:lineRule="auto"/>
              <w:jc w:val="center"/>
              <w:rPr>
                <w:rFonts w:hint="eastAsia" w:ascii="宋体" w:hAnsi="宋体" w:eastAsia="宋体" w:cs="宋体"/>
                <w:bCs/>
                <w:sz w:val="22"/>
                <w:szCs w:val="22"/>
              </w:rPr>
            </w:pPr>
            <w:r>
              <w:rPr>
                <w:rFonts w:hint="eastAsia" w:ascii="宋体" w:hAnsi="宋体" w:eastAsia="宋体" w:cs="宋体"/>
                <w:bCs/>
                <w:sz w:val="22"/>
                <w:szCs w:val="22"/>
              </w:rPr>
              <w:t>报价</w:t>
            </w:r>
          </w:p>
          <w:p w14:paraId="0C900BC4">
            <w:pPr>
              <w:wordWrap w:val="0"/>
              <w:spacing w:line="276" w:lineRule="auto"/>
              <w:jc w:val="center"/>
              <w:rPr>
                <w:rFonts w:hint="eastAsia" w:ascii="宋体" w:hAnsi="宋体" w:eastAsia="宋体" w:cs="宋体"/>
                <w:bCs/>
                <w:sz w:val="22"/>
                <w:szCs w:val="22"/>
              </w:rPr>
            </w:pPr>
            <w:r>
              <w:rPr>
                <w:rFonts w:hint="eastAsia" w:ascii="宋体" w:hAnsi="宋体" w:cs="宋体"/>
                <w:bCs/>
                <w:sz w:val="22"/>
                <w:szCs w:val="22"/>
                <w:lang w:val="en-US" w:eastAsia="zh-CN"/>
              </w:rPr>
              <w:t>20</w:t>
            </w:r>
            <w:r>
              <w:rPr>
                <w:rFonts w:hint="eastAsia" w:ascii="宋体" w:hAnsi="宋体" w:eastAsia="宋体" w:cs="宋体"/>
                <w:bCs/>
                <w:sz w:val="22"/>
                <w:szCs w:val="22"/>
              </w:rPr>
              <w:t>%</w:t>
            </w:r>
          </w:p>
        </w:tc>
        <w:tc>
          <w:tcPr>
            <w:tcW w:w="839" w:type="dxa"/>
            <w:tcBorders>
              <w:top w:val="single" w:color="auto" w:sz="4" w:space="0"/>
              <w:left w:val="single" w:color="auto" w:sz="4" w:space="0"/>
              <w:bottom w:val="single" w:color="auto" w:sz="4" w:space="0"/>
              <w:right w:val="single" w:color="auto" w:sz="4" w:space="0"/>
            </w:tcBorders>
            <w:vAlign w:val="center"/>
          </w:tcPr>
          <w:p w14:paraId="1D7DF0F6">
            <w:pPr>
              <w:wordWrap w:val="0"/>
              <w:spacing w:line="276" w:lineRule="auto"/>
              <w:jc w:val="center"/>
              <w:rPr>
                <w:rFonts w:hint="eastAsia" w:ascii="宋体" w:hAnsi="宋体" w:eastAsia="宋体" w:cs="宋体"/>
                <w:bCs/>
                <w:sz w:val="22"/>
                <w:szCs w:val="22"/>
              </w:rPr>
            </w:pPr>
            <w:r>
              <w:rPr>
                <w:rFonts w:hint="eastAsia" w:ascii="宋体" w:hAnsi="宋体" w:cs="宋体"/>
                <w:bCs/>
                <w:sz w:val="22"/>
                <w:szCs w:val="22"/>
                <w:lang w:val="en-US" w:eastAsia="zh-CN"/>
              </w:rPr>
              <w:t>20</w:t>
            </w:r>
            <w:r>
              <w:rPr>
                <w:rFonts w:hint="eastAsia" w:ascii="宋体" w:hAnsi="宋体" w:eastAsia="宋体" w:cs="宋体"/>
                <w:bCs/>
                <w:sz w:val="22"/>
                <w:szCs w:val="22"/>
              </w:rPr>
              <w:t>分</w:t>
            </w:r>
          </w:p>
        </w:tc>
        <w:tc>
          <w:tcPr>
            <w:tcW w:w="5581" w:type="dxa"/>
            <w:tcBorders>
              <w:top w:val="single" w:color="auto" w:sz="4" w:space="0"/>
              <w:left w:val="single" w:color="auto" w:sz="4" w:space="0"/>
              <w:bottom w:val="single" w:color="auto" w:sz="4" w:space="0"/>
              <w:right w:val="single" w:color="auto" w:sz="4" w:space="0"/>
            </w:tcBorders>
            <w:vAlign w:val="center"/>
          </w:tcPr>
          <w:p w14:paraId="1BF8035E">
            <w:pPr>
              <w:pStyle w:val="10"/>
              <w:keepNext w:val="0"/>
              <w:keepLines w:val="0"/>
              <w:pageBreakBefore w:val="0"/>
              <w:widowControl w:val="0"/>
              <w:kinsoku/>
              <w:wordWrap w:val="0"/>
              <w:overflowPunct/>
              <w:topLinePunct/>
              <w:autoSpaceDE/>
              <w:autoSpaceDN/>
              <w:bidi w:val="0"/>
              <w:adjustRightInd/>
              <w:snapToGrid w:val="0"/>
              <w:spacing w:line="400" w:lineRule="exact"/>
              <w:ind w:left="0" w:leftChars="0" w:firstLine="220" w:firstLineChars="100"/>
              <w:textAlignment w:val="auto"/>
              <w:rPr>
                <w:rFonts w:hint="eastAsia" w:ascii="宋体" w:hAnsi="宋体" w:eastAsia="宋体" w:cs="宋体"/>
                <w:bCs/>
                <w:snapToGrid/>
                <w:kern w:val="2"/>
                <w:sz w:val="22"/>
                <w:szCs w:val="22"/>
                <w:lang w:val="en-US" w:eastAsia="zh-CN" w:bidi="ar-SA"/>
              </w:rPr>
            </w:pPr>
            <w:r>
              <w:rPr>
                <w:rFonts w:hint="eastAsia" w:ascii="宋体" w:hAnsi="宋体" w:eastAsia="宋体" w:cs="宋体"/>
                <w:bCs/>
                <w:snapToGrid/>
                <w:kern w:val="2"/>
                <w:sz w:val="22"/>
                <w:szCs w:val="22"/>
                <w:lang w:val="en-US" w:eastAsia="zh-CN" w:bidi="ar-SA"/>
              </w:rPr>
              <w:t>满足比选文件要求且最后报价最低的比选申请人的价格为报价基准价，其价格分为满分。其他比选申请人的价格分统一按照下列公式计算：</w:t>
            </w:r>
          </w:p>
          <w:p w14:paraId="1C0F1A21">
            <w:pPr>
              <w:pStyle w:val="10"/>
              <w:keepNext w:val="0"/>
              <w:keepLines w:val="0"/>
              <w:pageBreakBefore w:val="0"/>
              <w:widowControl w:val="0"/>
              <w:kinsoku/>
              <w:wordWrap w:val="0"/>
              <w:overflowPunct/>
              <w:topLinePunct/>
              <w:autoSpaceDE/>
              <w:autoSpaceDN/>
              <w:bidi w:val="0"/>
              <w:adjustRightInd/>
              <w:snapToGrid w:val="0"/>
              <w:spacing w:line="400" w:lineRule="exact"/>
              <w:ind w:left="0" w:leftChars="0" w:firstLine="220" w:firstLineChars="100"/>
              <w:textAlignment w:val="auto"/>
              <w:rPr>
                <w:rFonts w:hint="eastAsia" w:ascii="宋体" w:hAnsi="宋体" w:eastAsia="宋体" w:cs="宋体"/>
                <w:sz w:val="22"/>
                <w:szCs w:val="22"/>
              </w:rPr>
            </w:pPr>
            <w:r>
              <w:rPr>
                <w:rFonts w:hint="eastAsia" w:ascii="宋体" w:hAnsi="宋体" w:eastAsia="宋体" w:cs="宋体"/>
                <w:bCs/>
                <w:snapToGrid/>
                <w:kern w:val="2"/>
                <w:sz w:val="22"/>
                <w:szCs w:val="22"/>
                <w:lang w:val="en-US" w:eastAsia="zh-CN" w:bidi="ar-SA"/>
              </w:rPr>
              <w:t>报价得分=(报价基准价/最后报价)×</w:t>
            </w:r>
            <w:r>
              <w:rPr>
                <w:rFonts w:hint="eastAsia" w:ascii="宋体" w:hAnsi="宋体" w:cs="宋体"/>
                <w:bCs/>
                <w:snapToGrid/>
                <w:kern w:val="2"/>
                <w:sz w:val="22"/>
                <w:szCs w:val="22"/>
                <w:lang w:val="en-US" w:eastAsia="zh-CN" w:bidi="ar-SA"/>
              </w:rPr>
              <w:t>20</w:t>
            </w:r>
            <w:r>
              <w:rPr>
                <w:rFonts w:hint="eastAsia" w:ascii="宋体" w:hAnsi="宋体" w:eastAsia="宋体" w:cs="宋体"/>
                <w:bCs/>
                <w:snapToGrid/>
                <w:kern w:val="2"/>
                <w:sz w:val="22"/>
                <w:szCs w:val="22"/>
                <w:lang w:val="en-US" w:eastAsia="zh-CN" w:bidi="ar-SA"/>
              </w:rPr>
              <w:t>%×100</w:t>
            </w:r>
          </w:p>
        </w:tc>
        <w:tc>
          <w:tcPr>
            <w:tcW w:w="1225" w:type="dxa"/>
            <w:tcBorders>
              <w:top w:val="single" w:color="auto" w:sz="4" w:space="0"/>
              <w:left w:val="single" w:color="auto" w:sz="4" w:space="0"/>
              <w:bottom w:val="single" w:color="auto" w:sz="4" w:space="0"/>
              <w:right w:val="single" w:color="auto" w:sz="4" w:space="0"/>
            </w:tcBorders>
            <w:vAlign w:val="center"/>
          </w:tcPr>
          <w:p w14:paraId="448BEFB0">
            <w:pPr>
              <w:wordWrap w:val="0"/>
              <w:spacing w:line="276" w:lineRule="auto"/>
              <w:jc w:val="center"/>
              <w:rPr>
                <w:rFonts w:hint="eastAsia" w:ascii="宋体" w:hAnsi="宋体" w:eastAsia="宋体" w:cs="宋体"/>
                <w:sz w:val="22"/>
                <w:szCs w:val="22"/>
              </w:rPr>
            </w:pPr>
            <w:r>
              <w:rPr>
                <w:rFonts w:hint="eastAsia" w:ascii="宋体" w:hAnsi="宋体" w:cs="宋体"/>
                <w:sz w:val="22"/>
                <w:szCs w:val="22"/>
                <w:lang w:val="en-US" w:eastAsia="zh-CN"/>
              </w:rPr>
              <w:t>客观</w:t>
            </w:r>
            <w:r>
              <w:rPr>
                <w:rFonts w:hint="eastAsia" w:ascii="宋体" w:hAnsi="宋体" w:eastAsia="宋体" w:cs="宋体"/>
                <w:sz w:val="22"/>
                <w:szCs w:val="22"/>
              </w:rPr>
              <w:t>评分因素</w:t>
            </w:r>
          </w:p>
        </w:tc>
      </w:tr>
      <w:tr w14:paraId="7B5CF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75" w:type="dxa"/>
            <w:tcBorders>
              <w:top w:val="single" w:color="auto" w:sz="4" w:space="0"/>
              <w:left w:val="single" w:color="auto" w:sz="4" w:space="0"/>
              <w:bottom w:val="single" w:color="auto" w:sz="4" w:space="0"/>
              <w:right w:val="single" w:color="auto" w:sz="4" w:space="0"/>
            </w:tcBorders>
            <w:vAlign w:val="center"/>
          </w:tcPr>
          <w:p w14:paraId="722ED132">
            <w:pPr>
              <w:wordWrap w:val="0"/>
              <w:spacing w:line="276" w:lineRule="auto"/>
              <w:jc w:val="center"/>
              <w:rPr>
                <w:rFonts w:hint="eastAsia" w:ascii="宋体" w:hAnsi="宋体" w:eastAsia="宋体" w:cs="宋体"/>
                <w:bCs/>
                <w:sz w:val="22"/>
                <w:szCs w:val="22"/>
              </w:rPr>
            </w:pPr>
            <w:r>
              <w:rPr>
                <w:rFonts w:hint="eastAsia" w:ascii="宋体" w:hAnsi="宋体" w:eastAsia="宋体" w:cs="宋体"/>
                <w:bCs/>
                <w:sz w:val="22"/>
                <w:szCs w:val="22"/>
              </w:rPr>
              <w:t>2</w:t>
            </w:r>
          </w:p>
        </w:tc>
        <w:tc>
          <w:tcPr>
            <w:tcW w:w="1230" w:type="dxa"/>
            <w:tcBorders>
              <w:top w:val="single" w:color="auto" w:sz="4" w:space="0"/>
              <w:left w:val="single" w:color="auto" w:sz="4" w:space="0"/>
              <w:bottom w:val="single" w:color="auto" w:sz="4" w:space="0"/>
              <w:right w:val="single" w:color="auto" w:sz="4" w:space="0"/>
            </w:tcBorders>
            <w:vAlign w:val="center"/>
          </w:tcPr>
          <w:p w14:paraId="3141FBC0">
            <w:pPr>
              <w:pStyle w:val="11"/>
              <w:jc w:val="center"/>
              <w:rPr>
                <w:rFonts w:hint="eastAsia" w:ascii="宋体" w:hAnsi="宋体" w:eastAsia="宋体" w:cs="宋体"/>
                <w:bCs/>
                <w:kern w:val="2"/>
                <w:sz w:val="22"/>
                <w:szCs w:val="22"/>
                <w:lang w:eastAsia="zh-CN"/>
              </w:rPr>
            </w:pPr>
            <w:r>
              <w:rPr>
                <w:rFonts w:hint="eastAsia" w:ascii="宋体" w:hAnsi="宋体" w:eastAsia="宋体" w:cs="宋体"/>
                <w:sz w:val="22"/>
                <w:szCs w:val="22"/>
                <w:lang w:eastAsia="zh-CN"/>
              </w:rPr>
              <w:t>项目实施</w:t>
            </w:r>
            <w:r>
              <w:rPr>
                <w:rFonts w:hint="eastAsia" w:ascii="宋体" w:hAnsi="宋体" w:eastAsia="宋体" w:cs="宋体"/>
                <w:sz w:val="22"/>
                <w:szCs w:val="22"/>
              </w:rPr>
              <w:t>方案</w:t>
            </w:r>
            <w:r>
              <w:rPr>
                <w:rFonts w:hint="eastAsia" w:ascii="宋体" w:hAnsi="宋体" w:cs="宋体"/>
                <w:sz w:val="22"/>
                <w:szCs w:val="22"/>
                <w:lang w:val="en-US" w:eastAsia="zh-CN"/>
              </w:rPr>
              <w:t>30</w:t>
            </w:r>
            <w:r>
              <w:rPr>
                <w:rFonts w:hint="eastAsia" w:ascii="宋体" w:hAnsi="宋体" w:eastAsia="宋体" w:cs="宋体"/>
                <w:sz w:val="22"/>
                <w:szCs w:val="22"/>
                <w:lang w:eastAsia="zh-CN"/>
              </w:rPr>
              <w:t>%</w:t>
            </w:r>
          </w:p>
        </w:tc>
        <w:tc>
          <w:tcPr>
            <w:tcW w:w="839" w:type="dxa"/>
            <w:tcBorders>
              <w:top w:val="single" w:color="auto" w:sz="4" w:space="0"/>
              <w:left w:val="single" w:color="auto" w:sz="4" w:space="0"/>
              <w:bottom w:val="single" w:color="auto" w:sz="4" w:space="0"/>
              <w:right w:val="single" w:color="auto" w:sz="4" w:space="0"/>
            </w:tcBorders>
            <w:vAlign w:val="center"/>
          </w:tcPr>
          <w:p w14:paraId="7E21663E">
            <w:pPr>
              <w:widowControl/>
              <w:snapToGrid w:val="0"/>
              <w:spacing w:line="360" w:lineRule="auto"/>
              <w:jc w:val="center"/>
              <w:rPr>
                <w:rFonts w:hint="eastAsia" w:ascii="宋体" w:hAnsi="宋体" w:eastAsia="宋体" w:cs="宋体"/>
                <w:sz w:val="22"/>
                <w:szCs w:val="22"/>
                <w:lang w:val="en-US" w:eastAsia="zh-CN"/>
              </w:rPr>
            </w:pPr>
            <w:r>
              <w:rPr>
                <w:rFonts w:hint="eastAsia" w:ascii="宋体" w:hAnsi="宋体" w:cs="宋体"/>
                <w:sz w:val="22"/>
                <w:szCs w:val="22"/>
                <w:lang w:val="en-US" w:eastAsia="zh-CN"/>
              </w:rPr>
              <w:t>30</w:t>
            </w:r>
            <w:r>
              <w:rPr>
                <w:rFonts w:hint="eastAsia" w:ascii="宋体" w:hAnsi="宋体" w:eastAsia="宋体" w:cs="宋体"/>
                <w:sz w:val="22"/>
                <w:szCs w:val="22"/>
                <w:lang w:val="en-US" w:eastAsia="zh-CN"/>
              </w:rPr>
              <w:t>分</w:t>
            </w:r>
          </w:p>
        </w:tc>
        <w:tc>
          <w:tcPr>
            <w:tcW w:w="5581" w:type="dxa"/>
            <w:tcBorders>
              <w:top w:val="single" w:color="auto" w:sz="4" w:space="0"/>
              <w:left w:val="single" w:color="auto" w:sz="4" w:space="0"/>
              <w:bottom w:val="single" w:color="auto" w:sz="4" w:space="0"/>
              <w:right w:val="single" w:color="auto" w:sz="4" w:space="0"/>
            </w:tcBorders>
            <w:vAlign w:val="center"/>
          </w:tcPr>
          <w:p w14:paraId="2B9D36B2">
            <w:pPr>
              <w:keepNext w:val="0"/>
              <w:keepLines w:val="0"/>
              <w:pageBreakBefore w:val="0"/>
              <w:widowControl/>
              <w:kinsoku/>
              <w:overflowPunct/>
              <w:topLinePunct w:val="0"/>
              <w:autoSpaceDE/>
              <w:bidi w:val="0"/>
              <w:adjustRightInd/>
              <w:snapToGrid w:val="0"/>
              <w:spacing w:line="400" w:lineRule="exact"/>
              <w:ind w:firstLine="220" w:firstLineChars="100"/>
              <w:jc w:val="left"/>
              <w:textAlignment w:val="auto"/>
              <w:rPr>
                <w:rFonts w:hint="eastAsia" w:ascii="宋体" w:hAnsi="宋体" w:eastAsia="宋体" w:cs="宋体"/>
                <w:sz w:val="22"/>
                <w:szCs w:val="22"/>
              </w:rPr>
            </w:pPr>
            <w:r>
              <w:rPr>
                <w:rFonts w:hint="eastAsia" w:ascii="宋体" w:hAnsi="宋体" w:eastAsia="宋体" w:cs="宋体"/>
                <w:sz w:val="22"/>
                <w:szCs w:val="22"/>
              </w:rPr>
              <w:t>根据比选申请人针对本项目提供的项目实施方案进行评审，方案内容包含：</w:t>
            </w:r>
          </w:p>
          <w:p w14:paraId="0F74FB3E">
            <w:pPr>
              <w:keepNext w:val="0"/>
              <w:keepLines w:val="0"/>
              <w:pageBreakBefore w:val="0"/>
              <w:widowControl/>
              <w:kinsoku/>
              <w:overflowPunct/>
              <w:topLinePunct w:val="0"/>
              <w:autoSpaceDE/>
              <w:bidi w:val="0"/>
              <w:adjustRightInd/>
              <w:snapToGrid w:val="0"/>
              <w:spacing w:line="400" w:lineRule="exact"/>
              <w:ind w:firstLine="220" w:firstLineChars="100"/>
              <w:jc w:val="left"/>
              <w:textAlignment w:val="auto"/>
              <w:rPr>
                <w:rFonts w:hint="eastAsia" w:ascii="宋体" w:hAnsi="宋体" w:eastAsia="宋体" w:cs="宋体"/>
                <w:sz w:val="22"/>
                <w:szCs w:val="22"/>
              </w:rPr>
            </w:pPr>
            <w:r>
              <w:rPr>
                <w:rFonts w:hint="eastAsia" w:ascii="宋体" w:hAnsi="宋体" w:eastAsia="宋体" w:cs="宋体"/>
                <w:sz w:val="22"/>
                <w:szCs w:val="22"/>
              </w:rPr>
              <w:t>①</w:t>
            </w:r>
            <w:r>
              <w:rPr>
                <w:rFonts w:hint="eastAsia" w:ascii="宋体" w:hAnsi="宋体" w:eastAsia="宋体" w:cs="宋体"/>
                <w:sz w:val="22"/>
                <w:szCs w:val="22"/>
                <w:lang w:val="en-US" w:eastAsia="zh-CN"/>
              </w:rPr>
              <w:t>项目</w:t>
            </w:r>
            <w:r>
              <w:rPr>
                <w:rFonts w:hint="eastAsia" w:ascii="宋体" w:hAnsi="宋体" w:eastAsia="宋体" w:cs="宋体"/>
                <w:sz w:val="22"/>
                <w:szCs w:val="22"/>
              </w:rPr>
              <w:t>实施思路；</w:t>
            </w:r>
          </w:p>
          <w:p w14:paraId="20B45786">
            <w:pPr>
              <w:keepNext w:val="0"/>
              <w:keepLines w:val="0"/>
              <w:pageBreakBefore w:val="0"/>
              <w:widowControl/>
              <w:kinsoku/>
              <w:overflowPunct/>
              <w:topLinePunct w:val="0"/>
              <w:autoSpaceDE/>
              <w:bidi w:val="0"/>
              <w:adjustRightInd/>
              <w:snapToGrid w:val="0"/>
              <w:spacing w:line="400" w:lineRule="exact"/>
              <w:ind w:firstLine="220" w:firstLineChars="100"/>
              <w:jc w:val="left"/>
              <w:textAlignment w:val="auto"/>
              <w:rPr>
                <w:rFonts w:hint="eastAsia" w:ascii="宋体" w:hAnsi="宋体" w:eastAsia="宋体" w:cs="宋体"/>
                <w:sz w:val="22"/>
                <w:szCs w:val="22"/>
              </w:rPr>
            </w:pPr>
            <w:r>
              <w:rPr>
                <w:rFonts w:hint="eastAsia" w:ascii="宋体" w:hAnsi="宋体" w:eastAsia="宋体" w:cs="宋体"/>
                <w:sz w:val="22"/>
                <w:szCs w:val="22"/>
              </w:rPr>
              <w:t>②项目实施计划；</w:t>
            </w:r>
          </w:p>
          <w:p w14:paraId="61256220">
            <w:pPr>
              <w:keepNext w:val="0"/>
              <w:keepLines w:val="0"/>
              <w:pageBreakBefore w:val="0"/>
              <w:widowControl/>
              <w:kinsoku/>
              <w:overflowPunct/>
              <w:topLinePunct w:val="0"/>
              <w:autoSpaceDE/>
              <w:bidi w:val="0"/>
              <w:adjustRightInd/>
              <w:snapToGrid w:val="0"/>
              <w:spacing w:line="400" w:lineRule="exact"/>
              <w:ind w:firstLine="220" w:firstLineChars="100"/>
              <w:jc w:val="left"/>
              <w:textAlignment w:val="auto"/>
              <w:rPr>
                <w:rFonts w:hint="eastAsia" w:ascii="宋体" w:hAnsi="宋体" w:eastAsia="宋体" w:cs="宋体"/>
                <w:sz w:val="22"/>
                <w:szCs w:val="22"/>
              </w:rPr>
            </w:pPr>
            <w:r>
              <w:rPr>
                <w:rFonts w:hint="eastAsia" w:ascii="宋体" w:hAnsi="宋体" w:eastAsia="宋体" w:cs="宋体"/>
                <w:sz w:val="22"/>
                <w:szCs w:val="22"/>
              </w:rPr>
              <w:t>③</w:t>
            </w:r>
            <w:r>
              <w:rPr>
                <w:rFonts w:hint="eastAsia" w:ascii="宋体" w:hAnsi="宋体" w:cs="宋体"/>
                <w:sz w:val="22"/>
                <w:szCs w:val="22"/>
                <w:lang w:val="en-US" w:eastAsia="zh-CN"/>
              </w:rPr>
              <w:t>活动具体</w:t>
            </w:r>
            <w:r>
              <w:rPr>
                <w:rFonts w:hint="eastAsia" w:ascii="宋体" w:hAnsi="宋体" w:eastAsia="宋体" w:cs="宋体"/>
                <w:sz w:val="22"/>
                <w:szCs w:val="22"/>
              </w:rPr>
              <w:t>方案；</w:t>
            </w:r>
            <w:bookmarkStart w:id="0" w:name="_GoBack"/>
            <w:bookmarkEnd w:id="0"/>
          </w:p>
          <w:p w14:paraId="01068058">
            <w:pPr>
              <w:keepNext w:val="0"/>
              <w:keepLines w:val="0"/>
              <w:pageBreakBefore w:val="0"/>
              <w:widowControl/>
              <w:kinsoku/>
              <w:overflowPunct/>
              <w:topLinePunct w:val="0"/>
              <w:autoSpaceDE/>
              <w:bidi w:val="0"/>
              <w:adjustRightInd/>
              <w:snapToGrid w:val="0"/>
              <w:spacing w:line="400" w:lineRule="exact"/>
              <w:ind w:firstLine="220" w:firstLineChars="100"/>
              <w:jc w:val="left"/>
              <w:textAlignment w:val="auto"/>
              <w:rPr>
                <w:rFonts w:hint="eastAsia" w:ascii="宋体" w:hAnsi="宋体" w:eastAsia="宋体" w:cs="宋体"/>
                <w:sz w:val="22"/>
                <w:szCs w:val="22"/>
              </w:rPr>
            </w:pPr>
            <w:r>
              <w:rPr>
                <w:rFonts w:hint="eastAsia" w:ascii="宋体" w:hAnsi="宋体" w:eastAsia="宋体" w:cs="宋体"/>
                <w:sz w:val="22"/>
                <w:szCs w:val="22"/>
              </w:rPr>
              <w:t xml:space="preserve">④运营人员配置；  </w:t>
            </w:r>
          </w:p>
          <w:p w14:paraId="5195F9AE">
            <w:pPr>
              <w:keepNext w:val="0"/>
              <w:keepLines w:val="0"/>
              <w:pageBreakBefore w:val="0"/>
              <w:widowControl/>
              <w:kinsoku/>
              <w:overflowPunct/>
              <w:topLinePunct w:val="0"/>
              <w:autoSpaceDE/>
              <w:bidi w:val="0"/>
              <w:adjustRightInd/>
              <w:snapToGrid w:val="0"/>
              <w:spacing w:line="400" w:lineRule="exact"/>
              <w:ind w:firstLine="220" w:firstLineChars="100"/>
              <w:jc w:val="left"/>
              <w:textAlignment w:val="auto"/>
              <w:rPr>
                <w:rFonts w:hint="eastAsia" w:ascii="宋体" w:hAnsi="宋体" w:eastAsia="宋体" w:cs="宋体"/>
                <w:sz w:val="22"/>
                <w:szCs w:val="22"/>
              </w:rPr>
            </w:pPr>
            <w:r>
              <w:rPr>
                <w:rFonts w:hint="eastAsia" w:ascii="宋体" w:hAnsi="宋体" w:cs="宋体"/>
                <w:sz w:val="22"/>
                <w:szCs w:val="22"/>
                <w:lang w:val="en-US" w:eastAsia="zh-CN"/>
              </w:rPr>
              <w:t>⑤</w:t>
            </w:r>
            <w:r>
              <w:rPr>
                <w:rFonts w:hint="eastAsia" w:ascii="宋体" w:hAnsi="宋体" w:eastAsia="宋体" w:cs="宋体"/>
                <w:sz w:val="22"/>
                <w:szCs w:val="22"/>
              </w:rPr>
              <w:t>应急管理措施；</w:t>
            </w:r>
          </w:p>
          <w:p w14:paraId="4C2CDF44">
            <w:pPr>
              <w:keepNext w:val="0"/>
              <w:keepLines w:val="0"/>
              <w:pageBreakBefore w:val="0"/>
              <w:widowControl/>
              <w:kinsoku/>
              <w:overflowPunct/>
              <w:topLinePunct w:val="0"/>
              <w:autoSpaceDE/>
              <w:bidi w:val="0"/>
              <w:adjustRightInd/>
              <w:snapToGrid w:val="0"/>
              <w:spacing w:line="400" w:lineRule="exact"/>
              <w:ind w:firstLine="220" w:firstLineChars="100"/>
              <w:jc w:val="left"/>
              <w:textAlignment w:val="auto"/>
              <w:rPr>
                <w:rFonts w:hint="eastAsia" w:ascii="宋体" w:hAnsi="宋体" w:eastAsia="宋体" w:cs="宋体"/>
                <w:sz w:val="22"/>
                <w:szCs w:val="22"/>
              </w:rPr>
            </w:pPr>
            <w:r>
              <w:rPr>
                <w:rFonts w:hint="eastAsia" w:ascii="宋体" w:hAnsi="宋体" w:eastAsia="宋体" w:cs="宋体"/>
                <w:sz w:val="22"/>
                <w:szCs w:val="22"/>
              </w:rPr>
              <w:t>以上</w:t>
            </w:r>
            <w:r>
              <w:rPr>
                <w:rFonts w:hint="eastAsia" w:ascii="宋体" w:hAnsi="宋体" w:cs="宋体"/>
                <w:sz w:val="22"/>
                <w:szCs w:val="22"/>
                <w:lang w:val="en-US" w:eastAsia="zh-CN"/>
              </w:rPr>
              <w:t>5</w:t>
            </w:r>
            <w:r>
              <w:rPr>
                <w:rFonts w:hint="eastAsia" w:ascii="宋体" w:hAnsi="宋体" w:eastAsia="宋体" w:cs="宋体"/>
                <w:sz w:val="22"/>
                <w:szCs w:val="22"/>
                <w:lang w:val="en-US" w:eastAsia="zh-CN"/>
              </w:rPr>
              <w:t>项（以序号</w:t>
            </w:r>
            <w:r>
              <w:rPr>
                <w:rFonts w:hint="eastAsia" w:ascii="宋体" w:hAnsi="宋体" w:eastAsia="宋体" w:cs="宋体"/>
                <w:sz w:val="22"/>
                <w:szCs w:val="22"/>
              </w:rPr>
              <w:t>①②</w:t>
            </w:r>
            <w:r>
              <w:rPr>
                <w:rFonts w:hint="eastAsia" w:ascii="宋体" w:hAnsi="宋体" w:eastAsia="宋体" w:cs="宋体"/>
                <w:sz w:val="22"/>
                <w:szCs w:val="22"/>
                <w:lang w:val="en-US" w:eastAsia="zh-CN"/>
              </w:rPr>
              <w:t>③……为项数）</w:t>
            </w:r>
            <w:r>
              <w:rPr>
                <w:rFonts w:hint="eastAsia" w:ascii="宋体" w:hAnsi="宋体" w:eastAsia="宋体" w:cs="宋体"/>
                <w:sz w:val="22"/>
                <w:szCs w:val="22"/>
              </w:rPr>
              <w:t>，结合项目实际情况，对每</w:t>
            </w:r>
            <w:r>
              <w:rPr>
                <w:rFonts w:hint="eastAsia" w:ascii="宋体" w:hAnsi="宋体" w:eastAsia="宋体" w:cs="宋体"/>
                <w:sz w:val="22"/>
                <w:szCs w:val="22"/>
                <w:lang w:val="en-US" w:eastAsia="zh-CN"/>
              </w:rPr>
              <w:t>项</w:t>
            </w:r>
            <w:r>
              <w:rPr>
                <w:rFonts w:hint="eastAsia" w:ascii="宋体" w:hAnsi="宋体" w:eastAsia="宋体" w:cs="宋体"/>
                <w:sz w:val="22"/>
                <w:szCs w:val="22"/>
              </w:rPr>
              <w:t>需用单独的文字和章节来表述</w:t>
            </w:r>
            <w:r>
              <w:rPr>
                <w:rFonts w:hint="eastAsia" w:ascii="宋体" w:hAnsi="宋体" w:eastAsia="宋体" w:cs="宋体"/>
                <w:sz w:val="22"/>
                <w:szCs w:val="22"/>
                <w:lang w:eastAsia="zh-CN"/>
              </w:rPr>
              <w:t>。</w:t>
            </w:r>
            <w:r>
              <w:rPr>
                <w:rFonts w:hint="eastAsia" w:ascii="宋体" w:hAnsi="宋体" w:eastAsia="宋体" w:cs="宋体"/>
                <w:sz w:val="22"/>
                <w:szCs w:val="22"/>
                <w:lang w:val="en-US" w:eastAsia="zh-CN"/>
              </w:rPr>
              <w:t>完整载明以上</w:t>
            </w:r>
            <w:r>
              <w:rPr>
                <w:rFonts w:hint="eastAsia" w:ascii="宋体" w:hAnsi="宋体" w:cs="宋体"/>
                <w:sz w:val="22"/>
                <w:szCs w:val="22"/>
                <w:lang w:val="en-US" w:eastAsia="zh-CN"/>
              </w:rPr>
              <w:t>5</w:t>
            </w:r>
            <w:r>
              <w:rPr>
                <w:rFonts w:hint="eastAsia" w:ascii="宋体" w:hAnsi="宋体" w:eastAsia="宋体" w:cs="宋体"/>
                <w:sz w:val="22"/>
                <w:szCs w:val="22"/>
                <w:lang w:val="en-US" w:eastAsia="zh-CN"/>
              </w:rPr>
              <w:t>项内容</w:t>
            </w:r>
            <w:r>
              <w:rPr>
                <w:rFonts w:hint="eastAsia" w:ascii="宋体" w:hAnsi="宋体" w:eastAsia="宋体" w:cs="宋体"/>
                <w:sz w:val="22"/>
                <w:szCs w:val="22"/>
              </w:rPr>
              <w:t>且无缺项或无缺陷</w:t>
            </w:r>
            <w:r>
              <w:rPr>
                <w:rFonts w:hint="eastAsia" w:ascii="宋体" w:hAnsi="宋体" w:eastAsia="宋体" w:cs="宋体"/>
                <w:sz w:val="22"/>
                <w:szCs w:val="22"/>
                <w:lang w:val="en-US" w:eastAsia="zh-CN"/>
              </w:rPr>
              <w:t>的</w:t>
            </w:r>
            <w:r>
              <w:rPr>
                <w:rFonts w:hint="eastAsia" w:ascii="宋体" w:hAnsi="宋体" w:eastAsia="宋体" w:cs="宋体"/>
                <w:sz w:val="22"/>
                <w:szCs w:val="22"/>
              </w:rPr>
              <w:t>得</w:t>
            </w:r>
            <w:r>
              <w:rPr>
                <w:rFonts w:hint="eastAsia" w:ascii="宋体" w:hAnsi="宋体" w:cs="宋体"/>
                <w:sz w:val="22"/>
                <w:szCs w:val="22"/>
                <w:lang w:val="en-US" w:eastAsia="zh-CN"/>
              </w:rPr>
              <w:t>30</w:t>
            </w:r>
            <w:r>
              <w:rPr>
                <w:rFonts w:hint="eastAsia" w:ascii="宋体" w:hAnsi="宋体" w:eastAsia="宋体" w:cs="宋体"/>
                <w:sz w:val="22"/>
                <w:szCs w:val="22"/>
              </w:rPr>
              <w:t>分，每</w:t>
            </w:r>
            <w:r>
              <w:rPr>
                <w:rFonts w:hint="eastAsia" w:ascii="宋体" w:hAnsi="宋体" w:eastAsia="宋体" w:cs="宋体"/>
                <w:sz w:val="22"/>
                <w:szCs w:val="22"/>
                <w:lang w:val="en-US" w:eastAsia="zh-CN"/>
              </w:rPr>
              <w:t>有一项内容</w:t>
            </w:r>
            <w:r>
              <w:rPr>
                <w:rFonts w:hint="eastAsia" w:ascii="宋体" w:hAnsi="宋体" w:eastAsia="宋体" w:cs="宋体"/>
                <w:sz w:val="22"/>
                <w:szCs w:val="22"/>
              </w:rPr>
              <w:t>缺项的</w:t>
            </w:r>
            <w:r>
              <w:rPr>
                <w:rFonts w:hint="eastAsia" w:ascii="宋体" w:hAnsi="宋体" w:eastAsia="宋体" w:cs="宋体"/>
                <w:sz w:val="22"/>
                <w:szCs w:val="22"/>
                <w:lang w:val="en-US" w:eastAsia="zh-CN"/>
              </w:rPr>
              <w:t>扣</w:t>
            </w:r>
            <w:r>
              <w:rPr>
                <w:rFonts w:hint="eastAsia" w:ascii="宋体" w:hAnsi="宋体" w:cs="宋体"/>
                <w:sz w:val="22"/>
                <w:szCs w:val="22"/>
                <w:lang w:val="en-US" w:eastAsia="zh-CN"/>
              </w:rPr>
              <w:t>6</w:t>
            </w:r>
            <w:r>
              <w:rPr>
                <w:rFonts w:hint="eastAsia" w:ascii="宋体" w:hAnsi="宋体" w:eastAsia="宋体" w:cs="宋体"/>
                <w:sz w:val="22"/>
                <w:szCs w:val="22"/>
                <w:lang w:val="en-US" w:eastAsia="zh-CN"/>
              </w:rPr>
              <w:t>分</w:t>
            </w:r>
            <w:r>
              <w:rPr>
                <w:rFonts w:hint="eastAsia" w:ascii="宋体" w:hAnsi="宋体" w:eastAsia="宋体" w:cs="宋体"/>
                <w:sz w:val="22"/>
                <w:szCs w:val="22"/>
              </w:rPr>
              <w:t>；每</w:t>
            </w:r>
            <w:r>
              <w:rPr>
                <w:rFonts w:hint="eastAsia" w:ascii="宋体" w:hAnsi="宋体" w:eastAsia="宋体" w:cs="宋体"/>
                <w:sz w:val="22"/>
                <w:szCs w:val="22"/>
                <w:lang w:val="en-US" w:eastAsia="zh-CN"/>
              </w:rPr>
              <w:t>项内容每</w:t>
            </w:r>
            <w:r>
              <w:rPr>
                <w:rFonts w:hint="eastAsia" w:ascii="宋体" w:hAnsi="宋体" w:eastAsia="宋体" w:cs="宋体"/>
                <w:sz w:val="22"/>
                <w:szCs w:val="22"/>
              </w:rPr>
              <w:t>有一项缺陷扣</w:t>
            </w:r>
            <w:r>
              <w:rPr>
                <w:rFonts w:hint="eastAsia" w:ascii="宋体" w:hAnsi="宋体" w:cs="宋体"/>
                <w:sz w:val="22"/>
                <w:szCs w:val="22"/>
                <w:lang w:val="en-US" w:eastAsia="zh-CN"/>
              </w:rPr>
              <w:t>3</w:t>
            </w:r>
            <w:r>
              <w:rPr>
                <w:rFonts w:hint="eastAsia" w:ascii="宋体" w:hAnsi="宋体" w:eastAsia="宋体" w:cs="宋体"/>
                <w:sz w:val="22"/>
                <w:szCs w:val="22"/>
              </w:rPr>
              <w:t>分，每</w:t>
            </w:r>
            <w:r>
              <w:rPr>
                <w:rFonts w:hint="eastAsia" w:ascii="宋体" w:hAnsi="宋体" w:eastAsia="宋体" w:cs="宋体"/>
                <w:sz w:val="22"/>
                <w:szCs w:val="22"/>
                <w:lang w:val="en-US" w:eastAsia="zh-CN"/>
              </w:rPr>
              <w:t>项</w:t>
            </w:r>
            <w:r>
              <w:rPr>
                <w:rFonts w:hint="eastAsia" w:ascii="宋体" w:hAnsi="宋体" w:eastAsia="宋体" w:cs="宋体"/>
                <w:sz w:val="22"/>
                <w:szCs w:val="22"/>
              </w:rPr>
              <w:t>对应分值扣完为止。未提供方案不得分。本项最多得</w:t>
            </w:r>
            <w:r>
              <w:rPr>
                <w:rFonts w:hint="eastAsia" w:ascii="宋体" w:hAnsi="宋体" w:cs="宋体"/>
                <w:sz w:val="22"/>
                <w:szCs w:val="22"/>
                <w:lang w:val="en-US" w:eastAsia="zh-CN"/>
              </w:rPr>
              <w:t>30</w:t>
            </w:r>
            <w:r>
              <w:rPr>
                <w:rFonts w:hint="eastAsia" w:ascii="宋体" w:hAnsi="宋体" w:eastAsia="宋体" w:cs="宋体"/>
                <w:sz w:val="22"/>
                <w:szCs w:val="22"/>
              </w:rPr>
              <w:t>分。</w:t>
            </w:r>
          </w:p>
          <w:p w14:paraId="55D3F8DB">
            <w:pPr>
              <w:keepNext w:val="0"/>
              <w:keepLines w:val="0"/>
              <w:pageBreakBefore w:val="0"/>
              <w:widowControl/>
              <w:kinsoku/>
              <w:overflowPunct/>
              <w:topLinePunct w:val="0"/>
              <w:autoSpaceDE/>
              <w:bidi w:val="0"/>
              <w:adjustRightInd/>
              <w:snapToGrid w:val="0"/>
              <w:spacing w:line="400" w:lineRule="exact"/>
              <w:ind w:firstLine="220" w:firstLineChars="100"/>
              <w:jc w:val="left"/>
              <w:textAlignment w:val="auto"/>
              <w:rPr>
                <w:rFonts w:hint="eastAsia" w:ascii="宋体" w:hAnsi="宋体" w:eastAsia="宋体" w:cs="宋体"/>
                <w:sz w:val="22"/>
                <w:szCs w:val="22"/>
              </w:rPr>
            </w:pPr>
            <w:r>
              <w:rPr>
                <w:rFonts w:hint="eastAsia" w:ascii="宋体" w:hAnsi="宋体" w:eastAsia="宋体" w:cs="宋体"/>
                <w:sz w:val="22"/>
                <w:szCs w:val="22"/>
              </w:rPr>
              <w:t>缺陷是指：非专门针对本项目或不适用本项目实际情况的情形(与项目实际不匹配、不符合项目特点)、方案内容不清晰或交叉混乱、描述内容不完整或缺少关键节点、对于项目及工作的理解片面主观、方案中内容前后矛盾，逻辑错误、涉及的规范及标准错误、存在凭空编造的情形、提供内容与本项目无关、语言错误或存在歧义等情况。</w:t>
            </w:r>
          </w:p>
        </w:tc>
        <w:tc>
          <w:tcPr>
            <w:tcW w:w="1225" w:type="dxa"/>
            <w:tcBorders>
              <w:top w:val="single" w:color="auto" w:sz="4" w:space="0"/>
              <w:left w:val="single" w:color="auto" w:sz="4" w:space="0"/>
              <w:bottom w:val="single" w:color="auto" w:sz="4" w:space="0"/>
              <w:right w:val="single" w:color="auto" w:sz="4" w:space="0"/>
            </w:tcBorders>
            <w:vAlign w:val="center"/>
          </w:tcPr>
          <w:p w14:paraId="5D6AD600">
            <w:pPr>
              <w:wordWrap w:val="0"/>
              <w:spacing w:line="276" w:lineRule="auto"/>
              <w:jc w:val="center"/>
              <w:rPr>
                <w:rFonts w:hint="eastAsia" w:ascii="宋体" w:hAnsi="宋体" w:eastAsia="宋体" w:cs="宋体"/>
                <w:sz w:val="22"/>
                <w:szCs w:val="22"/>
              </w:rPr>
            </w:pPr>
            <w:r>
              <w:rPr>
                <w:rFonts w:hint="eastAsia" w:ascii="宋体" w:hAnsi="宋体" w:cs="宋体"/>
                <w:sz w:val="22"/>
                <w:szCs w:val="22"/>
                <w:lang w:val="en-US" w:eastAsia="zh-CN"/>
              </w:rPr>
              <w:t>主观</w:t>
            </w:r>
            <w:r>
              <w:rPr>
                <w:rFonts w:hint="eastAsia" w:ascii="宋体" w:hAnsi="宋体" w:eastAsia="宋体" w:cs="宋体"/>
                <w:sz w:val="22"/>
                <w:szCs w:val="22"/>
              </w:rPr>
              <w:t>评分因素</w:t>
            </w:r>
          </w:p>
        </w:tc>
      </w:tr>
      <w:tr w14:paraId="4E259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75" w:type="dxa"/>
            <w:tcBorders>
              <w:top w:val="single" w:color="auto" w:sz="4" w:space="0"/>
              <w:left w:val="single" w:color="auto" w:sz="4" w:space="0"/>
              <w:bottom w:val="single" w:color="auto" w:sz="4" w:space="0"/>
              <w:right w:val="single" w:color="auto" w:sz="4" w:space="0"/>
            </w:tcBorders>
            <w:vAlign w:val="center"/>
          </w:tcPr>
          <w:p w14:paraId="267D9F22">
            <w:pPr>
              <w:wordWrap w:val="0"/>
              <w:spacing w:line="276" w:lineRule="auto"/>
              <w:jc w:val="center"/>
              <w:rPr>
                <w:rFonts w:hint="eastAsia" w:ascii="宋体" w:hAnsi="宋体" w:eastAsia="宋体" w:cs="宋体"/>
                <w:bCs/>
                <w:sz w:val="22"/>
                <w:szCs w:val="22"/>
                <w:lang w:eastAsia="zh-CN"/>
              </w:rPr>
            </w:pPr>
            <w:r>
              <w:rPr>
                <w:rFonts w:hint="eastAsia" w:ascii="宋体" w:hAnsi="宋体" w:cs="宋体"/>
                <w:bCs/>
                <w:sz w:val="22"/>
                <w:szCs w:val="22"/>
                <w:lang w:val="en-US" w:eastAsia="zh-CN"/>
              </w:rPr>
              <w:t>3</w:t>
            </w:r>
          </w:p>
        </w:tc>
        <w:tc>
          <w:tcPr>
            <w:tcW w:w="1230" w:type="dxa"/>
            <w:tcBorders>
              <w:top w:val="single" w:color="auto" w:sz="4" w:space="0"/>
              <w:left w:val="single" w:color="auto" w:sz="4" w:space="0"/>
              <w:bottom w:val="single" w:color="auto" w:sz="4" w:space="0"/>
              <w:right w:val="single" w:color="auto" w:sz="4" w:space="0"/>
            </w:tcBorders>
            <w:vAlign w:val="center"/>
          </w:tcPr>
          <w:p w14:paraId="293005C8">
            <w:pPr>
              <w:keepNext w:val="0"/>
              <w:keepLines w:val="0"/>
              <w:pageBreakBefore w:val="0"/>
              <w:widowControl/>
              <w:kinsoku/>
              <w:overflowPunct/>
              <w:topLinePunct w:val="0"/>
              <w:autoSpaceDE/>
              <w:bidi w:val="0"/>
              <w:adjustRightInd/>
              <w:snapToGrid w:val="0"/>
              <w:spacing w:line="312" w:lineRule="auto"/>
              <w:jc w:val="center"/>
              <w:textAlignment w:val="auto"/>
              <w:rPr>
                <w:rFonts w:hint="eastAsia" w:ascii="宋体" w:hAnsi="宋体" w:eastAsia="宋体" w:cs="宋体"/>
                <w:sz w:val="22"/>
                <w:szCs w:val="22"/>
                <w:lang w:val="en-US" w:eastAsia="zh-CN"/>
              </w:rPr>
            </w:pPr>
            <w:r>
              <w:rPr>
                <w:rFonts w:hint="eastAsia" w:ascii="宋体" w:hAnsi="宋体" w:eastAsia="宋体" w:cs="宋体"/>
                <w:bCs/>
                <w:color w:val="auto"/>
                <w:kern w:val="0"/>
                <w:sz w:val="22"/>
                <w:szCs w:val="22"/>
                <w:highlight w:val="none"/>
                <w:lang w:val="en-US" w:eastAsia="zh-CN" w:bidi="ar-SA"/>
              </w:rPr>
              <w:t>后续服务方案</w:t>
            </w:r>
            <w:r>
              <w:rPr>
                <w:rFonts w:hint="eastAsia" w:ascii="宋体" w:hAnsi="宋体" w:cs="宋体"/>
                <w:sz w:val="22"/>
                <w:szCs w:val="22"/>
                <w:lang w:val="en-US" w:eastAsia="zh-CN"/>
              </w:rPr>
              <w:t>2</w:t>
            </w:r>
            <w:r>
              <w:rPr>
                <w:rFonts w:hint="eastAsia" w:ascii="宋体" w:hAnsi="宋体" w:eastAsia="宋体" w:cs="宋体"/>
                <w:sz w:val="22"/>
                <w:szCs w:val="22"/>
                <w:lang w:val="en-US" w:eastAsia="zh-CN"/>
              </w:rPr>
              <w:t>0%</w:t>
            </w:r>
          </w:p>
        </w:tc>
        <w:tc>
          <w:tcPr>
            <w:tcW w:w="839" w:type="dxa"/>
            <w:tcBorders>
              <w:top w:val="single" w:color="auto" w:sz="4" w:space="0"/>
              <w:left w:val="single" w:color="auto" w:sz="4" w:space="0"/>
              <w:bottom w:val="single" w:color="auto" w:sz="4" w:space="0"/>
              <w:right w:val="single" w:color="auto" w:sz="4" w:space="0"/>
            </w:tcBorders>
            <w:vAlign w:val="center"/>
          </w:tcPr>
          <w:p w14:paraId="35D82E33">
            <w:pPr>
              <w:keepNext w:val="0"/>
              <w:keepLines w:val="0"/>
              <w:pageBreakBefore w:val="0"/>
              <w:widowControl/>
              <w:kinsoku/>
              <w:overflowPunct/>
              <w:topLinePunct w:val="0"/>
              <w:autoSpaceDE/>
              <w:bidi w:val="0"/>
              <w:adjustRightInd/>
              <w:snapToGrid w:val="0"/>
              <w:spacing w:line="312" w:lineRule="auto"/>
              <w:jc w:val="center"/>
              <w:textAlignment w:val="auto"/>
              <w:rPr>
                <w:rFonts w:hint="eastAsia" w:ascii="宋体" w:hAnsi="宋体" w:eastAsia="宋体" w:cs="宋体"/>
                <w:sz w:val="22"/>
                <w:szCs w:val="22"/>
                <w:lang w:val="en-US" w:eastAsia="zh-CN"/>
              </w:rPr>
            </w:pPr>
            <w:r>
              <w:rPr>
                <w:rFonts w:hint="eastAsia" w:ascii="宋体" w:hAnsi="宋体" w:cs="宋体"/>
                <w:sz w:val="22"/>
                <w:szCs w:val="22"/>
                <w:lang w:val="en-US" w:eastAsia="zh-CN"/>
              </w:rPr>
              <w:t>2</w:t>
            </w:r>
            <w:r>
              <w:rPr>
                <w:rFonts w:hint="eastAsia" w:ascii="宋体" w:hAnsi="宋体" w:eastAsia="宋体" w:cs="宋体"/>
                <w:sz w:val="22"/>
                <w:szCs w:val="22"/>
                <w:lang w:val="en-US" w:eastAsia="zh-CN"/>
              </w:rPr>
              <w:t>0分</w:t>
            </w:r>
          </w:p>
        </w:tc>
        <w:tc>
          <w:tcPr>
            <w:tcW w:w="5581" w:type="dxa"/>
            <w:tcBorders>
              <w:top w:val="single" w:color="auto" w:sz="4" w:space="0"/>
              <w:left w:val="single" w:color="auto" w:sz="4" w:space="0"/>
              <w:bottom w:val="single" w:color="auto" w:sz="4" w:space="0"/>
              <w:right w:val="single" w:color="auto" w:sz="4" w:space="0"/>
            </w:tcBorders>
            <w:vAlign w:val="center"/>
          </w:tcPr>
          <w:p w14:paraId="3D9E9453">
            <w:pPr>
              <w:keepNext w:val="0"/>
              <w:keepLines w:val="0"/>
              <w:pageBreakBefore w:val="0"/>
              <w:widowControl/>
              <w:kinsoku/>
              <w:overflowPunct/>
              <w:topLinePunct w:val="0"/>
              <w:autoSpaceDE/>
              <w:bidi w:val="0"/>
              <w:adjustRightInd/>
              <w:snapToGrid w:val="0"/>
              <w:spacing w:line="400" w:lineRule="exact"/>
              <w:ind w:firstLine="220" w:firstLineChars="100"/>
              <w:jc w:val="left"/>
              <w:textAlignment w:val="auto"/>
              <w:rPr>
                <w:rFonts w:hint="eastAsia" w:ascii="宋体" w:hAnsi="宋体" w:eastAsia="宋体" w:cs="宋体"/>
                <w:sz w:val="22"/>
                <w:szCs w:val="22"/>
              </w:rPr>
            </w:pPr>
            <w:r>
              <w:rPr>
                <w:rFonts w:hint="eastAsia" w:ascii="宋体" w:hAnsi="宋体" w:eastAsia="宋体" w:cs="宋体"/>
                <w:sz w:val="22"/>
                <w:szCs w:val="22"/>
              </w:rPr>
              <w:t>根据比选申请人针对本项目提供的</w:t>
            </w:r>
            <w:r>
              <w:rPr>
                <w:rFonts w:hint="eastAsia" w:ascii="宋体" w:hAnsi="宋体" w:eastAsia="宋体" w:cs="宋体"/>
                <w:sz w:val="22"/>
                <w:szCs w:val="22"/>
                <w:lang w:val="en-US" w:eastAsia="zh-CN"/>
              </w:rPr>
              <w:t>后续服务方案</w:t>
            </w:r>
            <w:r>
              <w:rPr>
                <w:rFonts w:hint="eastAsia" w:ascii="宋体" w:hAnsi="宋体" w:eastAsia="宋体" w:cs="宋体"/>
                <w:sz w:val="22"/>
                <w:szCs w:val="22"/>
              </w:rPr>
              <w:t>进行评审，方案内容包含：</w:t>
            </w:r>
          </w:p>
          <w:p w14:paraId="5938358B">
            <w:pPr>
              <w:keepNext w:val="0"/>
              <w:keepLines w:val="0"/>
              <w:pageBreakBefore w:val="0"/>
              <w:widowControl/>
              <w:kinsoku/>
              <w:overflowPunct/>
              <w:topLinePunct w:val="0"/>
              <w:autoSpaceDE/>
              <w:bidi w:val="0"/>
              <w:adjustRightInd/>
              <w:snapToGrid w:val="0"/>
              <w:spacing w:line="400" w:lineRule="exact"/>
              <w:ind w:firstLine="220" w:firstLineChars="100"/>
              <w:jc w:val="left"/>
              <w:textAlignment w:val="auto"/>
              <w:rPr>
                <w:rFonts w:hint="eastAsia" w:ascii="宋体" w:hAnsi="宋体" w:eastAsia="宋体" w:cs="宋体"/>
                <w:sz w:val="22"/>
                <w:szCs w:val="22"/>
              </w:rPr>
            </w:pPr>
            <w:r>
              <w:rPr>
                <w:rFonts w:hint="eastAsia" w:ascii="宋体" w:hAnsi="宋体" w:eastAsia="宋体" w:cs="宋体"/>
                <w:sz w:val="22"/>
                <w:szCs w:val="22"/>
              </w:rPr>
              <w:t>①</w:t>
            </w:r>
            <w:r>
              <w:rPr>
                <w:rFonts w:hint="eastAsia" w:ascii="宋体" w:hAnsi="宋体" w:eastAsia="宋体" w:cs="宋体"/>
                <w:sz w:val="22"/>
                <w:szCs w:val="22"/>
                <w:lang w:val="en-US" w:eastAsia="zh-CN"/>
              </w:rPr>
              <w:t>后续</w:t>
            </w:r>
            <w:r>
              <w:rPr>
                <w:rFonts w:hint="eastAsia" w:ascii="宋体" w:hAnsi="宋体" w:eastAsia="宋体" w:cs="宋体"/>
                <w:sz w:val="22"/>
                <w:szCs w:val="22"/>
              </w:rPr>
              <w:t>服务内容及方式；</w:t>
            </w:r>
          </w:p>
          <w:p w14:paraId="5B37EE4F">
            <w:pPr>
              <w:keepNext w:val="0"/>
              <w:keepLines w:val="0"/>
              <w:pageBreakBefore w:val="0"/>
              <w:widowControl/>
              <w:kinsoku/>
              <w:overflowPunct/>
              <w:topLinePunct w:val="0"/>
              <w:autoSpaceDE/>
              <w:bidi w:val="0"/>
              <w:adjustRightInd/>
              <w:snapToGrid w:val="0"/>
              <w:spacing w:line="400" w:lineRule="exact"/>
              <w:ind w:firstLine="220" w:firstLineChars="100"/>
              <w:jc w:val="left"/>
              <w:textAlignment w:val="auto"/>
              <w:rPr>
                <w:rFonts w:hint="eastAsia" w:ascii="宋体" w:hAnsi="宋体" w:eastAsia="宋体" w:cs="宋体"/>
                <w:sz w:val="22"/>
                <w:szCs w:val="22"/>
              </w:rPr>
            </w:pPr>
            <w:r>
              <w:rPr>
                <w:rFonts w:hint="eastAsia" w:ascii="宋体" w:hAnsi="宋体" w:eastAsia="宋体" w:cs="宋体"/>
                <w:sz w:val="22"/>
                <w:szCs w:val="22"/>
              </w:rPr>
              <w:t>②</w:t>
            </w:r>
            <w:r>
              <w:rPr>
                <w:rFonts w:hint="eastAsia" w:ascii="宋体" w:hAnsi="宋体" w:eastAsia="宋体" w:cs="宋体"/>
                <w:sz w:val="22"/>
                <w:szCs w:val="22"/>
                <w:lang w:val="en-US" w:eastAsia="zh-CN"/>
              </w:rPr>
              <w:t>后续</w:t>
            </w:r>
            <w:r>
              <w:rPr>
                <w:rFonts w:hint="eastAsia" w:ascii="宋体" w:hAnsi="宋体" w:eastAsia="宋体" w:cs="宋体"/>
                <w:sz w:val="22"/>
                <w:szCs w:val="22"/>
              </w:rPr>
              <w:t xml:space="preserve">服务流程； </w:t>
            </w:r>
          </w:p>
          <w:p w14:paraId="55157731">
            <w:pPr>
              <w:keepNext w:val="0"/>
              <w:keepLines w:val="0"/>
              <w:pageBreakBefore w:val="0"/>
              <w:widowControl/>
              <w:kinsoku/>
              <w:overflowPunct/>
              <w:topLinePunct w:val="0"/>
              <w:autoSpaceDE/>
              <w:bidi w:val="0"/>
              <w:adjustRightInd/>
              <w:snapToGrid w:val="0"/>
              <w:spacing w:line="400" w:lineRule="exact"/>
              <w:ind w:firstLine="220" w:firstLineChars="100"/>
              <w:jc w:val="left"/>
              <w:textAlignment w:val="auto"/>
              <w:rPr>
                <w:rFonts w:hint="eastAsia" w:ascii="宋体" w:hAnsi="宋体" w:eastAsia="宋体" w:cs="宋体"/>
                <w:sz w:val="22"/>
                <w:szCs w:val="22"/>
                <w:lang w:eastAsia="zh-CN"/>
              </w:rPr>
            </w:pPr>
            <w:r>
              <w:rPr>
                <w:rFonts w:hint="eastAsia" w:ascii="宋体" w:hAnsi="宋体" w:eastAsia="宋体" w:cs="宋体"/>
                <w:sz w:val="22"/>
                <w:szCs w:val="22"/>
              </w:rPr>
              <w:t>③</w:t>
            </w:r>
            <w:r>
              <w:rPr>
                <w:rFonts w:hint="eastAsia" w:ascii="宋体" w:hAnsi="宋体" w:eastAsia="宋体" w:cs="宋体"/>
                <w:sz w:val="22"/>
                <w:szCs w:val="22"/>
                <w:lang w:val="en-US" w:eastAsia="zh-CN"/>
              </w:rPr>
              <w:t>后续</w:t>
            </w:r>
            <w:r>
              <w:rPr>
                <w:rFonts w:hint="eastAsia" w:ascii="宋体" w:hAnsi="宋体" w:eastAsia="宋体" w:cs="宋体"/>
                <w:sz w:val="22"/>
                <w:szCs w:val="22"/>
              </w:rPr>
              <w:t>服务保障</w:t>
            </w:r>
            <w:r>
              <w:rPr>
                <w:rFonts w:hint="eastAsia" w:ascii="宋体" w:hAnsi="宋体" w:eastAsia="宋体" w:cs="宋体"/>
                <w:sz w:val="22"/>
                <w:szCs w:val="22"/>
                <w:lang w:eastAsia="zh-CN"/>
              </w:rPr>
              <w:t>；</w:t>
            </w:r>
          </w:p>
          <w:p w14:paraId="10BEFBD5">
            <w:pPr>
              <w:keepNext w:val="0"/>
              <w:keepLines w:val="0"/>
              <w:pageBreakBefore w:val="0"/>
              <w:widowControl/>
              <w:kinsoku/>
              <w:overflowPunct/>
              <w:topLinePunct w:val="0"/>
              <w:autoSpaceDE/>
              <w:bidi w:val="0"/>
              <w:adjustRightInd/>
              <w:snapToGrid w:val="0"/>
              <w:spacing w:line="400" w:lineRule="exact"/>
              <w:ind w:firstLine="220" w:firstLineChars="100"/>
              <w:jc w:val="left"/>
              <w:textAlignment w:val="auto"/>
              <w:rPr>
                <w:rFonts w:hint="eastAsia" w:ascii="宋体" w:hAnsi="宋体" w:eastAsia="宋体" w:cs="宋体"/>
                <w:sz w:val="22"/>
                <w:szCs w:val="22"/>
                <w:lang w:eastAsia="zh-CN"/>
              </w:rPr>
            </w:pPr>
            <w:r>
              <w:rPr>
                <w:rFonts w:hint="eastAsia" w:ascii="宋体" w:hAnsi="宋体" w:eastAsia="宋体" w:cs="宋体"/>
                <w:sz w:val="22"/>
                <w:szCs w:val="22"/>
              </w:rPr>
              <w:t>④</w:t>
            </w:r>
            <w:r>
              <w:rPr>
                <w:rFonts w:hint="eastAsia" w:ascii="宋体" w:hAnsi="宋体" w:eastAsia="宋体" w:cs="宋体"/>
                <w:sz w:val="22"/>
                <w:szCs w:val="22"/>
                <w:lang w:val="en-US" w:eastAsia="zh-CN"/>
              </w:rPr>
              <w:t>后续</w:t>
            </w:r>
            <w:r>
              <w:rPr>
                <w:rFonts w:hint="eastAsia" w:ascii="宋体" w:hAnsi="宋体" w:eastAsia="宋体" w:cs="宋体"/>
                <w:sz w:val="22"/>
                <w:szCs w:val="22"/>
              </w:rPr>
              <w:t>服务人员配置</w:t>
            </w:r>
            <w:r>
              <w:rPr>
                <w:rFonts w:hint="eastAsia" w:ascii="宋体" w:hAnsi="宋体" w:eastAsia="宋体" w:cs="宋体"/>
                <w:sz w:val="22"/>
                <w:szCs w:val="22"/>
                <w:lang w:eastAsia="zh-CN"/>
              </w:rPr>
              <w:t>；</w:t>
            </w:r>
          </w:p>
          <w:p w14:paraId="4B2FE793">
            <w:pPr>
              <w:keepNext w:val="0"/>
              <w:keepLines w:val="0"/>
              <w:pageBreakBefore w:val="0"/>
              <w:widowControl/>
              <w:kinsoku/>
              <w:overflowPunct/>
              <w:topLinePunct w:val="0"/>
              <w:autoSpaceDE/>
              <w:bidi w:val="0"/>
              <w:adjustRightInd/>
              <w:snapToGrid w:val="0"/>
              <w:spacing w:line="400" w:lineRule="exact"/>
              <w:ind w:firstLine="220" w:firstLineChars="100"/>
              <w:jc w:val="left"/>
              <w:textAlignment w:val="auto"/>
              <w:rPr>
                <w:rFonts w:hint="eastAsia" w:ascii="宋体" w:hAnsi="宋体" w:eastAsia="宋体" w:cs="宋体"/>
                <w:sz w:val="22"/>
                <w:szCs w:val="22"/>
              </w:rPr>
            </w:pPr>
            <w:r>
              <w:rPr>
                <w:rFonts w:hint="eastAsia" w:ascii="宋体" w:hAnsi="宋体" w:eastAsia="宋体" w:cs="宋体"/>
                <w:sz w:val="22"/>
                <w:szCs w:val="22"/>
              </w:rPr>
              <w:t>以上</w:t>
            </w:r>
            <w:r>
              <w:rPr>
                <w:rFonts w:hint="eastAsia" w:ascii="宋体" w:hAnsi="宋体" w:eastAsia="宋体" w:cs="宋体"/>
                <w:sz w:val="22"/>
                <w:szCs w:val="22"/>
                <w:lang w:val="en-US" w:eastAsia="zh-CN"/>
              </w:rPr>
              <w:t>4项（以序号</w:t>
            </w:r>
            <w:r>
              <w:rPr>
                <w:rFonts w:hint="eastAsia" w:ascii="宋体" w:hAnsi="宋体" w:eastAsia="宋体" w:cs="宋体"/>
                <w:sz w:val="22"/>
                <w:szCs w:val="22"/>
              </w:rPr>
              <w:t>①②</w:t>
            </w:r>
            <w:r>
              <w:rPr>
                <w:rFonts w:hint="eastAsia" w:ascii="宋体" w:hAnsi="宋体" w:eastAsia="宋体" w:cs="宋体"/>
                <w:sz w:val="22"/>
                <w:szCs w:val="22"/>
                <w:lang w:val="en-US" w:eastAsia="zh-CN"/>
              </w:rPr>
              <w:t>③……为项数）</w:t>
            </w:r>
            <w:r>
              <w:rPr>
                <w:rFonts w:hint="eastAsia" w:ascii="宋体" w:hAnsi="宋体" w:eastAsia="宋体" w:cs="宋体"/>
                <w:sz w:val="22"/>
                <w:szCs w:val="22"/>
              </w:rPr>
              <w:t>，结合项目实际情况，对每</w:t>
            </w:r>
            <w:r>
              <w:rPr>
                <w:rFonts w:hint="eastAsia" w:ascii="宋体" w:hAnsi="宋体" w:eastAsia="宋体" w:cs="宋体"/>
                <w:sz w:val="22"/>
                <w:szCs w:val="22"/>
                <w:lang w:val="en-US" w:eastAsia="zh-CN"/>
              </w:rPr>
              <w:t>项</w:t>
            </w:r>
            <w:r>
              <w:rPr>
                <w:rFonts w:hint="eastAsia" w:ascii="宋体" w:hAnsi="宋体" w:eastAsia="宋体" w:cs="宋体"/>
                <w:sz w:val="22"/>
                <w:szCs w:val="22"/>
              </w:rPr>
              <w:t>需用单独的文字和章节来表述</w:t>
            </w:r>
            <w:r>
              <w:rPr>
                <w:rFonts w:hint="eastAsia" w:ascii="宋体" w:hAnsi="宋体" w:eastAsia="宋体" w:cs="宋体"/>
                <w:sz w:val="22"/>
                <w:szCs w:val="22"/>
                <w:lang w:eastAsia="zh-CN"/>
              </w:rPr>
              <w:t>。</w:t>
            </w:r>
            <w:r>
              <w:rPr>
                <w:rFonts w:hint="eastAsia" w:ascii="宋体" w:hAnsi="宋体" w:eastAsia="宋体" w:cs="宋体"/>
                <w:sz w:val="22"/>
                <w:szCs w:val="22"/>
                <w:lang w:val="en-US" w:eastAsia="zh-CN"/>
              </w:rPr>
              <w:t>完整载明以上4项内容</w:t>
            </w:r>
            <w:r>
              <w:rPr>
                <w:rFonts w:hint="eastAsia" w:ascii="宋体" w:hAnsi="宋体" w:eastAsia="宋体" w:cs="宋体"/>
                <w:sz w:val="22"/>
                <w:szCs w:val="22"/>
              </w:rPr>
              <w:t>且无缺项或无缺陷</w:t>
            </w:r>
            <w:r>
              <w:rPr>
                <w:rFonts w:hint="eastAsia" w:ascii="宋体" w:hAnsi="宋体" w:eastAsia="宋体" w:cs="宋体"/>
                <w:sz w:val="22"/>
                <w:szCs w:val="22"/>
                <w:lang w:val="en-US" w:eastAsia="zh-CN"/>
              </w:rPr>
              <w:t>的</w:t>
            </w:r>
            <w:r>
              <w:rPr>
                <w:rFonts w:hint="eastAsia" w:ascii="宋体" w:hAnsi="宋体" w:eastAsia="宋体" w:cs="宋体"/>
                <w:sz w:val="22"/>
                <w:szCs w:val="22"/>
              </w:rPr>
              <w:t>得</w:t>
            </w:r>
            <w:r>
              <w:rPr>
                <w:rFonts w:hint="eastAsia" w:ascii="宋体" w:hAnsi="宋体" w:eastAsia="宋体" w:cs="宋体"/>
                <w:sz w:val="22"/>
                <w:szCs w:val="22"/>
                <w:lang w:val="en-US" w:eastAsia="zh-CN"/>
              </w:rPr>
              <w:t>20</w:t>
            </w:r>
            <w:r>
              <w:rPr>
                <w:rFonts w:hint="eastAsia" w:ascii="宋体" w:hAnsi="宋体" w:eastAsia="宋体" w:cs="宋体"/>
                <w:sz w:val="22"/>
                <w:szCs w:val="22"/>
              </w:rPr>
              <w:t>分，每</w:t>
            </w:r>
            <w:r>
              <w:rPr>
                <w:rFonts w:hint="eastAsia" w:ascii="宋体" w:hAnsi="宋体" w:eastAsia="宋体" w:cs="宋体"/>
                <w:sz w:val="22"/>
                <w:szCs w:val="22"/>
                <w:lang w:val="en-US" w:eastAsia="zh-CN"/>
              </w:rPr>
              <w:t>有一项内容</w:t>
            </w:r>
            <w:r>
              <w:rPr>
                <w:rFonts w:hint="eastAsia" w:ascii="宋体" w:hAnsi="宋体" w:eastAsia="宋体" w:cs="宋体"/>
                <w:sz w:val="22"/>
                <w:szCs w:val="22"/>
              </w:rPr>
              <w:t>缺项的</w:t>
            </w:r>
            <w:r>
              <w:rPr>
                <w:rFonts w:hint="eastAsia" w:ascii="宋体" w:hAnsi="宋体" w:eastAsia="宋体" w:cs="宋体"/>
                <w:sz w:val="22"/>
                <w:szCs w:val="22"/>
                <w:lang w:val="en-US" w:eastAsia="zh-CN"/>
              </w:rPr>
              <w:t>扣5分</w:t>
            </w:r>
            <w:r>
              <w:rPr>
                <w:rFonts w:hint="eastAsia" w:ascii="宋体" w:hAnsi="宋体" w:eastAsia="宋体" w:cs="宋体"/>
                <w:sz w:val="22"/>
                <w:szCs w:val="22"/>
              </w:rPr>
              <w:t>；每</w:t>
            </w:r>
            <w:r>
              <w:rPr>
                <w:rFonts w:hint="eastAsia" w:ascii="宋体" w:hAnsi="宋体" w:eastAsia="宋体" w:cs="宋体"/>
                <w:sz w:val="22"/>
                <w:szCs w:val="22"/>
                <w:lang w:val="en-US" w:eastAsia="zh-CN"/>
              </w:rPr>
              <w:t>项内容每</w:t>
            </w:r>
            <w:r>
              <w:rPr>
                <w:rFonts w:hint="eastAsia" w:ascii="宋体" w:hAnsi="宋体" w:eastAsia="宋体" w:cs="宋体"/>
                <w:sz w:val="22"/>
                <w:szCs w:val="22"/>
              </w:rPr>
              <w:t>有一项缺陷扣</w:t>
            </w:r>
            <w:r>
              <w:rPr>
                <w:rFonts w:hint="eastAsia" w:ascii="宋体" w:hAnsi="宋体" w:eastAsia="宋体" w:cs="宋体"/>
                <w:sz w:val="22"/>
                <w:szCs w:val="22"/>
                <w:lang w:val="en-US" w:eastAsia="zh-CN"/>
              </w:rPr>
              <w:t>2.5</w:t>
            </w:r>
            <w:r>
              <w:rPr>
                <w:rFonts w:hint="eastAsia" w:ascii="宋体" w:hAnsi="宋体" w:eastAsia="宋体" w:cs="宋体"/>
                <w:sz w:val="22"/>
                <w:szCs w:val="22"/>
              </w:rPr>
              <w:t>分，每</w:t>
            </w:r>
            <w:r>
              <w:rPr>
                <w:rFonts w:hint="eastAsia" w:ascii="宋体" w:hAnsi="宋体" w:eastAsia="宋体" w:cs="宋体"/>
                <w:sz w:val="22"/>
                <w:szCs w:val="22"/>
                <w:lang w:val="en-US" w:eastAsia="zh-CN"/>
              </w:rPr>
              <w:t>项</w:t>
            </w:r>
            <w:r>
              <w:rPr>
                <w:rFonts w:hint="eastAsia" w:ascii="宋体" w:hAnsi="宋体" w:eastAsia="宋体" w:cs="宋体"/>
                <w:sz w:val="22"/>
                <w:szCs w:val="22"/>
              </w:rPr>
              <w:t>对应分值扣完为止。未提供方案不得分。本项最多得</w:t>
            </w:r>
            <w:r>
              <w:rPr>
                <w:rFonts w:hint="eastAsia" w:ascii="宋体" w:hAnsi="宋体" w:eastAsia="宋体" w:cs="宋体"/>
                <w:sz w:val="22"/>
                <w:szCs w:val="22"/>
                <w:lang w:val="en-US" w:eastAsia="zh-CN"/>
              </w:rPr>
              <w:t>20</w:t>
            </w:r>
            <w:r>
              <w:rPr>
                <w:rFonts w:hint="eastAsia" w:ascii="宋体" w:hAnsi="宋体" w:eastAsia="宋体" w:cs="宋体"/>
                <w:sz w:val="22"/>
                <w:szCs w:val="22"/>
              </w:rPr>
              <w:t>分。</w:t>
            </w:r>
          </w:p>
          <w:p w14:paraId="1BEA26AC">
            <w:pPr>
              <w:keepNext w:val="0"/>
              <w:keepLines w:val="0"/>
              <w:pageBreakBefore w:val="0"/>
              <w:widowControl/>
              <w:kinsoku/>
              <w:wordWrap/>
              <w:overflowPunct/>
              <w:topLinePunct w:val="0"/>
              <w:autoSpaceDE/>
              <w:autoSpaceDN/>
              <w:bidi w:val="0"/>
              <w:adjustRightInd/>
              <w:snapToGrid w:val="0"/>
              <w:spacing w:line="400" w:lineRule="exact"/>
              <w:ind w:firstLine="220" w:firstLineChars="100"/>
              <w:jc w:val="left"/>
              <w:textAlignment w:val="auto"/>
              <w:rPr>
                <w:rFonts w:hint="default"/>
                <w:sz w:val="22"/>
                <w:szCs w:val="22"/>
                <w:lang w:val="en-US" w:eastAsia="zh-CN"/>
              </w:rPr>
            </w:pPr>
            <w:r>
              <w:rPr>
                <w:rFonts w:hint="eastAsia" w:ascii="宋体" w:hAnsi="宋体" w:eastAsia="宋体" w:cs="宋体"/>
                <w:sz w:val="22"/>
                <w:szCs w:val="22"/>
              </w:rPr>
              <w:t>缺陷是指：非专门针对本项目或不适用本项目实际情况的情形(与项目实际不匹配、不符合项目特点)、方案内容不清晰或交叉混乱、描述内容不完整或缺少关键节点、对于项目及工作的理解片面主观、方案中内容前后矛盾，逻辑错误、涉及的规范及标准错误、存在凭空编造的情形、提供内容与本项目无关、语言错误或存在歧义等情况。</w:t>
            </w:r>
          </w:p>
        </w:tc>
        <w:tc>
          <w:tcPr>
            <w:tcW w:w="1225" w:type="dxa"/>
            <w:tcBorders>
              <w:top w:val="single" w:color="auto" w:sz="4" w:space="0"/>
              <w:left w:val="single" w:color="auto" w:sz="4" w:space="0"/>
              <w:bottom w:val="single" w:color="auto" w:sz="4" w:space="0"/>
              <w:right w:val="single" w:color="auto" w:sz="4" w:space="0"/>
            </w:tcBorders>
            <w:vAlign w:val="center"/>
          </w:tcPr>
          <w:p w14:paraId="6540FF8C">
            <w:pPr>
              <w:wordWrap w:val="0"/>
              <w:spacing w:line="276" w:lineRule="auto"/>
              <w:jc w:val="center"/>
              <w:rPr>
                <w:rFonts w:hint="eastAsia" w:ascii="宋体" w:hAnsi="宋体" w:eastAsia="宋体" w:cs="宋体"/>
                <w:sz w:val="22"/>
                <w:szCs w:val="22"/>
              </w:rPr>
            </w:pPr>
            <w:r>
              <w:rPr>
                <w:rFonts w:hint="eastAsia" w:ascii="宋体" w:hAnsi="宋体" w:cs="宋体"/>
                <w:sz w:val="22"/>
                <w:szCs w:val="22"/>
                <w:lang w:val="en-US" w:eastAsia="zh-CN"/>
              </w:rPr>
              <w:t>主观</w:t>
            </w:r>
            <w:r>
              <w:rPr>
                <w:rFonts w:hint="eastAsia" w:ascii="宋体" w:hAnsi="宋体" w:eastAsia="宋体" w:cs="宋体"/>
                <w:sz w:val="22"/>
                <w:szCs w:val="22"/>
              </w:rPr>
              <w:t>评分因素</w:t>
            </w:r>
          </w:p>
        </w:tc>
      </w:tr>
      <w:tr w14:paraId="6ED1D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8" w:hRule="atLeast"/>
        </w:trPr>
        <w:tc>
          <w:tcPr>
            <w:tcW w:w="675" w:type="dxa"/>
            <w:tcBorders>
              <w:top w:val="single" w:color="auto" w:sz="4" w:space="0"/>
              <w:left w:val="single" w:color="auto" w:sz="4" w:space="0"/>
              <w:bottom w:val="single" w:color="auto" w:sz="4" w:space="0"/>
              <w:right w:val="single" w:color="auto" w:sz="4" w:space="0"/>
            </w:tcBorders>
            <w:vAlign w:val="center"/>
          </w:tcPr>
          <w:p w14:paraId="0EA92656">
            <w:pPr>
              <w:wordWrap w:val="0"/>
              <w:spacing w:line="276" w:lineRule="auto"/>
              <w:jc w:val="center"/>
              <w:rPr>
                <w:rFonts w:hint="default" w:ascii="宋体" w:hAnsi="宋体" w:eastAsia="宋体" w:cs="宋体"/>
                <w:bCs/>
                <w:sz w:val="22"/>
                <w:szCs w:val="22"/>
                <w:lang w:val="en-US" w:eastAsia="zh-CN"/>
              </w:rPr>
            </w:pPr>
            <w:r>
              <w:rPr>
                <w:rFonts w:hint="eastAsia" w:ascii="宋体" w:hAnsi="宋体" w:cs="宋体"/>
                <w:bCs/>
                <w:sz w:val="22"/>
                <w:szCs w:val="22"/>
                <w:lang w:val="en-US" w:eastAsia="zh-CN"/>
              </w:rPr>
              <w:t>4</w:t>
            </w:r>
          </w:p>
        </w:tc>
        <w:tc>
          <w:tcPr>
            <w:tcW w:w="1230" w:type="dxa"/>
            <w:tcBorders>
              <w:top w:val="single" w:color="auto" w:sz="4" w:space="0"/>
              <w:left w:val="single" w:color="auto" w:sz="4" w:space="0"/>
              <w:bottom w:val="single" w:color="auto" w:sz="4" w:space="0"/>
              <w:right w:val="single" w:color="auto" w:sz="4" w:space="0"/>
            </w:tcBorders>
            <w:vAlign w:val="center"/>
          </w:tcPr>
          <w:p w14:paraId="2F9DAAED">
            <w:pPr>
              <w:keepNext w:val="0"/>
              <w:keepLines w:val="0"/>
              <w:pageBreakBefore w:val="0"/>
              <w:widowControl/>
              <w:kinsoku/>
              <w:overflowPunct/>
              <w:topLinePunct w:val="0"/>
              <w:autoSpaceDE/>
              <w:bidi w:val="0"/>
              <w:adjustRightInd/>
              <w:snapToGrid w:val="0"/>
              <w:spacing w:line="312" w:lineRule="auto"/>
              <w:jc w:val="center"/>
              <w:textAlignment w:val="auto"/>
              <w:rPr>
                <w:rFonts w:hint="default" w:ascii="宋体" w:hAnsi="宋体" w:eastAsia="宋体" w:cs="宋体"/>
                <w:sz w:val="22"/>
                <w:szCs w:val="22"/>
                <w:lang w:val="en-US" w:eastAsia="zh-CN"/>
              </w:rPr>
            </w:pPr>
            <w:r>
              <w:rPr>
                <w:rFonts w:hint="eastAsia" w:ascii="宋体" w:hAnsi="宋体" w:cs="宋体"/>
                <w:sz w:val="22"/>
                <w:szCs w:val="22"/>
                <w:lang w:val="en-US" w:eastAsia="zh-CN"/>
              </w:rPr>
              <w:t>快速响应能力10%</w:t>
            </w:r>
          </w:p>
        </w:tc>
        <w:tc>
          <w:tcPr>
            <w:tcW w:w="839" w:type="dxa"/>
            <w:tcBorders>
              <w:top w:val="single" w:color="auto" w:sz="4" w:space="0"/>
              <w:left w:val="single" w:color="auto" w:sz="4" w:space="0"/>
              <w:bottom w:val="single" w:color="auto" w:sz="4" w:space="0"/>
              <w:right w:val="single" w:color="auto" w:sz="4" w:space="0"/>
            </w:tcBorders>
            <w:vAlign w:val="center"/>
          </w:tcPr>
          <w:p w14:paraId="213AA955">
            <w:pPr>
              <w:keepNext w:val="0"/>
              <w:keepLines w:val="0"/>
              <w:pageBreakBefore w:val="0"/>
              <w:widowControl/>
              <w:kinsoku/>
              <w:overflowPunct/>
              <w:topLinePunct w:val="0"/>
              <w:autoSpaceDE/>
              <w:bidi w:val="0"/>
              <w:adjustRightInd/>
              <w:snapToGrid w:val="0"/>
              <w:spacing w:line="312" w:lineRule="auto"/>
              <w:jc w:val="center"/>
              <w:textAlignment w:val="auto"/>
              <w:rPr>
                <w:rFonts w:hint="default" w:ascii="宋体" w:hAnsi="宋体" w:cs="宋体"/>
                <w:sz w:val="22"/>
                <w:szCs w:val="22"/>
                <w:lang w:val="en-US" w:eastAsia="zh-CN"/>
              </w:rPr>
            </w:pPr>
            <w:r>
              <w:rPr>
                <w:rFonts w:hint="eastAsia" w:ascii="宋体" w:hAnsi="宋体" w:cs="宋体"/>
                <w:sz w:val="22"/>
                <w:szCs w:val="22"/>
                <w:lang w:val="en-US" w:eastAsia="zh-CN"/>
              </w:rPr>
              <w:t>10分</w:t>
            </w:r>
          </w:p>
        </w:tc>
        <w:tc>
          <w:tcPr>
            <w:tcW w:w="5581" w:type="dxa"/>
            <w:tcBorders>
              <w:top w:val="single" w:color="auto" w:sz="4" w:space="0"/>
              <w:left w:val="single" w:color="auto" w:sz="4" w:space="0"/>
              <w:bottom w:val="single" w:color="auto" w:sz="4" w:space="0"/>
              <w:right w:val="single" w:color="auto" w:sz="4" w:space="0"/>
            </w:tcBorders>
            <w:vAlign w:val="center"/>
          </w:tcPr>
          <w:p w14:paraId="4C76D351">
            <w:pPr>
              <w:keepNext w:val="0"/>
              <w:keepLines w:val="0"/>
              <w:pageBreakBefore w:val="0"/>
              <w:widowControl/>
              <w:kinsoku w:val="0"/>
              <w:wordWrap/>
              <w:overflowPunct/>
              <w:topLinePunct w:val="0"/>
              <w:autoSpaceDE w:val="0"/>
              <w:autoSpaceDN w:val="0"/>
              <w:bidi w:val="0"/>
              <w:adjustRightInd w:val="0"/>
              <w:snapToGrid w:val="0"/>
              <w:spacing w:line="400" w:lineRule="exact"/>
              <w:ind w:firstLine="220" w:firstLineChars="100"/>
              <w:textAlignment w:val="baseline"/>
              <w:rPr>
                <w:rFonts w:hint="eastAsia" w:ascii="宋体" w:hAnsi="宋体" w:eastAsia="宋体" w:cs="宋体"/>
                <w:snapToGrid/>
                <w:color w:val="auto"/>
                <w:kern w:val="0"/>
                <w:sz w:val="22"/>
                <w:szCs w:val="22"/>
                <w:lang w:val="en-US" w:eastAsia="zh-CN" w:bidi="ar-SA"/>
              </w:rPr>
            </w:pPr>
            <w:r>
              <w:rPr>
                <w:rFonts w:hint="eastAsia" w:ascii="宋体" w:hAnsi="宋体" w:eastAsia="宋体" w:cs="宋体"/>
                <w:snapToGrid/>
                <w:color w:val="auto"/>
                <w:kern w:val="0"/>
                <w:sz w:val="22"/>
                <w:szCs w:val="22"/>
                <w:lang w:val="en-US" w:eastAsia="zh-CN" w:bidi="ar-SA"/>
              </w:rPr>
              <w:t>在项目履约过程中，若出现紧急情况需快速响应，</w:t>
            </w:r>
            <w:r>
              <w:rPr>
                <w:rFonts w:hint="eastAsia" w:ascii="宋体" w:hAnsi="宋体" w:cs="宋体"/>
                <w:snapToGrid/>
                <w:color w:val="auto"/>
                <w:kern w:val="0"/>
                <w:sz w:val="22"/>
                <w:szCs w:val="22"/>
                <w:lang w:val="en-US" w:eastAsia="zh-CN" w:bidi="ar-SA"/>
              </w:rPr>
              <w:t>比选申请人</w:t>
            </w:r>
            <w:r>
              <w:rPr>
                <w:rFonts w:hint="eastAsia" w:ascii="宋体" w:hAnsi="宋体" w:eastAsia="宋体" w:cs="宋体"/>
                <w:snapToGrid/>
                <w:color w:val="auto"/>
                <w:kern w:val="0"/>
                <w:sz w:val="22"/>
                <w:szCs w:val="22"/>
                <w:lang w:val="en-US" w:eastAsia="zh-CN" w:bidi="ar-SA"/>
              </w:rPr>
              <w:t>需承诺在</w:t>
            </w:r>
            <w:r>
              <w:rPr>
                <w:rFonts w:hint="eastAsia" w:ascii="宋体" w:hAnsi="宋体" w:cs="宋体"/>
                <w:snapToGrid/>
                <w:color w:val="auto"/>
                <w:kern w:val="0"/>
                <w:sz w:val="22"/>
                <w:szCs w:val="22"/>
                <w:lang w:val="en-US" w:eastAsia="zh-CN" w:bidi="ar-SA"/>
              </w:rPr>
              <w:t>比选人</w:t>
            </w:r>
            <w:r>
              <w:rPr>
                <w:rFonts w:hint="eastAsia" w:ascii="宋体" w:hAnsi="宋体" w:eastAsia="宋体" w:cs="宋体"/>
                <w:snapToGrid/>
                <w:color w:val="auto"/>
                <w:kern w:val="0"/>
                <w:sz w:val="22"/>
                <w:szCs w:val="22"/>
                <w:lang w:val="en-US" w:eastAsia="zh-CN" w:bidi="ar-SA"/>
              </w:rPr>
              <w:t>通知</w:t>
            </w:r>
            <w:r>
              <w:rPr>
                <w:rFonts w:hint="eastAsia" w:ascii="宋体" w:hAnsi="宋体" w:cs="宋体"/>
                <w:snapToGrid/>
                <w:color w:val="auto"/>
                <w:kern w:val="0"/>
                <w:sz w:val="22"/>
                <w:szCs w:val="22"/>
                <w:lang w:val="en-US" w:eastAsia="zh-CN" w:bidi="ar-SA"/>
              </w:rPr>
              <w:t>发出</w:t>
            </w:r>
            <w:r>
              <w:rPr>
                <w:rFonts w:hint="eastAsia" w:ascii="宋体" w:hAnsi="宋体" w:eastAsia="宋体" w:cs="宋体"/>
                <w:snapToGrid/>
                <w:color w:val="auto"/>
                <w:kern w:val="0"/>
                <w:sz w:val="22"/>
                <w:szCs w:val="22"/>
                <w:lang w:val="en-US" w:eastAsia="zh-CN" w:bidi="ar-SA"/>
              </w:rPr>
              <w:t>后及时通过线上或到达现场向</w:t>
            </w:r>
            <w:r>
              <w:rPr>
                <w:rFonts w:hint="eastAsia" w:ascii="宋体" w:hAnsi="宋体" w:cs="宋体"/>
                <w:snapToGrid/>
                <w:color w:val="auto"/>
                <w:kern w:val="0"/>
                <w:sz w:val="22"/>
                <w:szCs w:val="22"/>
                <w:lang w:val="en-US" w:eastAsia="zh-CN" w:bidi="ar-SA"/>
              </w:rPr>
              <w:t>比选人</w:t>
            </w:r>
            <w:r>
              <w:rPr>
                <w:rFonts w:hint="eastAsia" w:ascii="宋体" w:hAnsi="宋体" w:eastAsia="宋体" w:cs="宋体"/>
                <w:snapToGrid/>
                <w:color w:val="auto"/>
                <w:kern w:val="0"/>
                <w:sz w:val="22"/>
                <w:szCs w:val="22"/>
                <w:lang w:val="en-US" w:eastAsia="zh-CN" w:bidi="ar-SA"/>
              </w:rPr>
              <w:t xml:space="preserve">或相关对象提供服务。 </w:t>
            </w:r>
            <w:r>
              <w:rPr>
                <w:rFonts w:hint="eastAsia" w:ascii="宋体" w:hAnsi="宋体" w:cs="宋体"/>
                <w:snapToGrid/>
                <w:color w:val="auto"/>
                <w:kern w:val="0"/>
                <w:sz w:val="22"/>
                <w:szCs w:val="22"/>
                <w:lang w:val="en-US" w:eastAsia="zh-CN" w:bidi="ar-SA"/>
              </w:rPr>
              <w:t>比选申请人</w:t>
            </w:r>
            <w:r>
              <w:rPr>
                <w:rFonts w:hint="eastAsia" w:ascii="宋体" w:hAnsi="宋体" w:eastAsia="宋体" w:cs="宋体"/>
                <w:snapToGrid/>
                <w:color w:val="auto"/>
                <w:kern w:val="0"/>
                <w:sz w:val="22"/>
                <w:szCs w:val="22"/>
                <w:lang w:val="en-US" w:eastAsia="zh-CN" w:bidi="ar-SA"/>
              </w:rPr>
              <w:t>快速响应时间为120分钟的得</w:t>
            </w:r>
            <w:r>
              <w:rPr>
                <w:rFonts w:hint="eastAsia" w:ascii="宋体" w:hAnsi="宋体" w:cs="宋体"/>
                <w:snapToGrid/>
                <w:color w:val="auto"/>
                <w:kern w:val="0"/>
                <w:sz w:val="22"/>
                <w:szCs w:val="22"/>
                <w:lang w:val="en-US" w:eastAsia="zh-CN" w:bidi="ar-SA"/>
              </w:rPr>
              <w:t>4</w:t>
            </w:r>
            <w:r>
              <w:rPr>
                <w:rFonts w:hint="eastAsia" w:ascii="宋体" w:hAnsi="宋体" w:eastAsia="宋体" w:cs="宋体"/>
                <w:snapToGrid/>
                <w:color w:val="auto"/>
                <w:kern w:val="0"/>
                <w:sz w:val="22"/>
                <w:szCs w:val="22"/>
                <w:lang w:val="en-US" w:eastAsia="zh-CN" w:bidi="ar-SA"/>
              </w:rPr>
              <w:t>分，在此基础上快速响应时间每减少20分钟加2分，本项最多得</w:t>
            </w:r>
            <w:r>
              <w:rPr>
                <w:rFonts w:hint="eastAsia" w:ascii="宋体" w:hAnsi="宋体" w:cs="宋体"/>
                <w:snapToGrid/>
                <w:color w:val="auto"/>
                <w:kern w:val="0"/>
                <w:sz w:val="22"/>
                <w:szCs w:val="22"/>
                <w:lang w:val="en-US" w:eastAsia="zh-CN" w:bidi="ar-SA"/>
              </w:rPr>
              <w:t>10</w:t>
            </w:r>
            <w:r>
              <w:rPr>
                <w:rFonts w:hint="eastAsia" w:ascii="宋体" w:hAnsi="宋体" w:eastAsia="宋体" w:cs="宋体"/>
                <w:snapToGrid/>
                <w:color w:val="auto"/>
                <w:kern w:val="0"/>
                <w:sz w:val="22"/>
                <w:szCs w:val="22"/>
                <w:lang w:val="en-US" w:eastAsia="zh-CN" w:bidi="ar-SA"/>
              </w:rPr>
              <w:t xml:space="preserve">分。超过120分钟不得分。减少时间不足20分钟不加分。 </w:t>
            </w:r>
          </w:p>
          <w:p w14:paraId="472A592F">
            <w:pPr>
              <w:keepNext w:val="0"/>
              <w:keepLines w:val="0"/>
              <w:pageBreakBefore w:val="0"/>
              <w:widowControl/>
              <w:kinsoku w:val="0"/>
              <w:wordWrap/>
              <w:overflowPunct/>
              <w:topLinePunct w:val="0"/>
              <w:autoSpaceDE w:val="0"/>
              <w:autoSpaceDN w:val="0"/>
              <w:bidi w:val="0"/>
              <w:adjustRightInd w:val="0"/>
              <w:snapToGrid w:val="0"/>
              <w:spacing w:line="400" w:lineRule="exact"/>
              <w:ind w:firstLine="220" w:firstLineChars="100"/>
              <w:textAlignment w:val="baseline"/>
              <w:rPr>
                <w:rFonts w:hint="eastAsia" w:ascii="宋体" w:hAnsi="宋体" w:eastAsia="宋体" w:cs="宋体"/>
                <w:kern w:val="2"/>
                <w:sz w:val="22"/>
                <w:szCs w:val="22"/>
                <w:lang w:val="en-US" w:eastAsia="zh-CN" w:bidi="ar-SA"/>
              </w:rPr>
            </w:pPr>
            <w:r>
              <w:rPr>
                <w:rFonts w:hint="eastAsia" w:ascii="宋体" w:hAnsi="宋体" w:eastAsia="宋体" w:cs="宋体"/>
                <w:snapToGrid/>
                <w:color w:val="auto"/>
                <w:kern w:val="0"/>
                <w:sz w:val="22"/>
                <w:szCs w:val="22"/>
                <w:lang w:val="en-US" w:eastAsia="zh-CN" w:bidi="ar-SA"/>
              </w:rPr>
              <w:t>注：提供单独承诺函（格式自拟），未提供单独承诺函不得分。</w:t>
            </w:r>
          </w:p>
        </w:tc>
        <w:tc>
          <w:tcPr>
            <w:tcW w:w="1225" w:type="dxa"/>
            <w:tcBorders>
              <w:top w:val="single" w:color="auto" w:sz="4" w:space="0"/>
              <w:left w:val="single" w:color="auto" w:sz="4" w:space="0"/>
              <w:bottom w:val="single" w:color="auto" w:sz="4" w:space="0"/>
              <w:right w:val="single" w:color="auto" w:sz="4" w:space="0"/>
            </w:tcBorders>
            <w:vAlign w:val="center"/>
          </w:tcPr>
          <w:p w14:paraId="0D6B9573">
            <w:pPr>
              <w:wordWrap w:val="0"/>
              <w:spacing w:line="276" w:lineRule="auto"/>
              <w:jc w:val="center"/>
              <w:rPr>
                <w:rFonts w:hint="eastAsia" w:ascii="宋体" w:hAnsi="宋体" w:eastAsia="宋体" w:cs="宋体"/>
                <w:sz w:val="22"/>
                <w:szCs w:val="22"/>
              </w:rPr>
            </w:pPr>
            <w:r>
              <w:rPr>
                <w:rFonts w:hint="eastAsia" w:ascii="宋体" w:hAnsi="宋体" w:cs="宋体"/>
                <w:sz w:val="22"/>
                <w:szCs w:val="22"/>
                <w:lang w:val="en-US" w:eastAsia="zh-CN"/>
              </w:rPr>
              <w:t>客观</w:t>
            </w:r>
            <w:r>
              <w:rPr>
                <w:rFonts w:hint="eastAsia" w:ascii="宋体" w:hAnsi="宋体" w:eastAsia="宋体" w:cs="宋体"/>
                <w:sz w:val="22"/>
                <w:szCs w:val="22"/>
              </w:rPr>
              <w:t>评分因素</w:t>
            </w:r>
          </w:p>
        </w:tc>
      </w:tr>
      <w:tr w14:paraId="457F4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2" w:hRule="atLeast"/>
        </w:trPr>
        <w:tc>
          <w:tcPr>
            <w:tcW w:w="675" w:type="dxa"/>
            <w:tcBorders>
              <w:top w:val="single" w:color="auto" w:sz="4" w:space="0"/>
              <w:left w:val="single" w:color="auto" w:sz="4" w:space="0"/>
              <w:bottom w:val="single" w:color="auto" w:sz="4" w:space="0"/>
              <w:right w:val="single" w:color="auto" w:sz="4" w:space="0"/>
            </w:tcBorders>
            <w:vAlign w:val="center"/>
          </w:tcPr>
          <w:p w14:paraId="41F10B03">
            <w:pPr>
              <w:wordWrap w:val="0"/>
              <w:spacing w:line="276" w:lineRule="auto"/>
              <w:jc w:val="center"/>
              <w:rPr>
                <w:rFonts w:hint="default" w:ascii="宋体" w:hAnsi="宋体" w:cs="宋体"/>
                <w:bCs/>
                <w:sz w:val="22"/>
                <w:szCs w:val="22"/>
                <w:lang w:val="en-US" w:eastAsia="zh-CN"/>
              </w:rPr>
            </w:pPr>
            <w:r>
              <w:rPr>
                <w:rFonts w:hint="eastAsia" w:ascii="宋体" w:hAnsi="宋体" w:cs="宋体"/>
                <w:bCs/>
                <w:sz w:val="22"/>
                <w:szCs w:val="22"/>
                <w:lang w:val="en-US" w:eastAsia="zh-CN"/>
              </w:rPr>
              <w:t>5</w:t>
            </w:r>
          </w:p>
        </w:tc>
        <w:tc>
          <w:tcPr>
            <w:tcW w:w="1230" w:type="dxa"/>
            <w:tcBorders>
              <w:top w:val="single" w:color="auto" w:sz="4" w:space="0"/>
              <w:left w:val="single" w:color="auto" w:sz="4" w:space="0"/>
              <w:bottom w:val="single" w:color="auto" w:sz="4" w:space="0"/>
              <w:right w:val="single" w:color="auto" w:sz="4" w:space="0"/>
            </w:tcBorders>
            <w:vAlign w:val="center"/>
          </w:tcPr>
          <w:p w14:paraId="5BB877D4">
            <w:pPr>
              <w:keepNext w:val="0"/>
              <w:keepLines w:val="0"/>
              <w:pageBreakBefore w:val="0"/>
              <w:widowControl/>
              <w:kinsoku/>
              <w:overflowPunct/>
              <w:topLinePunct w:val="0"/>
              <w:autoSpaceDE/>
              <w:bidi w:val="0"/>
              <w:adjustRightInd/>
              <w:snapToGrid w:val="0"/>
              <w:spacing w:line="312" w:lineRule="auto"/>
              <w:jc w:val="center"/>
              <w:textAlignment w:val="auto"/>
              <w:rPr>
                <w:rFonts w:hint="default" w:ascii="宋体" w:hAnsi="宋体" w:cs="宋体"/>
                <w:sz w:val="22"/>
                <w:szCs w:val="22"/>
                <w:lang w:val="en-US" w:eastAsia="zh-CN"/>
              </w:rPr>
            </w:pPr>
            <w:r>
              <w:rPr>
                <w:rFonts w:hint="eastAsia" w:ascii="宋体" w:hAnsi="宋体" w:cs="宋体"/>
                <w:sz w:val="22"/>
                <w:szCs w:val="22"/>
                <w:lang w:val="en-US" w:eastAsia="zh-CN"/>
              </w:rPr>
              <w:t>履约经验</w:t>
            </w:r>
          </w:p>
        </w:tc>
        <w:tc>
          <w:tcPr>
            <w:tcW w:w="839" w:type="dxa"/>
            <w:tcBorders>
              <w:top w:val="single" w:color="auto" w:sz="4" w:space="0"/>
              <w:left w:val="single" w:color="auto" w:sz="4" w:space="0"/>
              <w:bottom w:val="single" w:color="auto" w:sz="4" w:space="0"/>
              <w:right w:val="single" w:color="auto" w:sz="4" w:space="0"/>
            </w:tcBorders>
            <w:vAlign w:val="center"/>
          </w:tcPr>
          <w:p w14:paraId="60769F0C">
            <w:pPr>
              <w:keepNext w:val="0"/>
              <w:keepLines w:val="0"/>
              <w:pageBreakBefore w:val="0"/>
              <w:widowControl/>
              <w:kinsoku/>
              <w:overflowPunct/>
              <w:topLinePunct w:val="0"/>
              <w:autoSpaceDE/>
              <w:bidi w:val="0"/>
              <w:adjustRightInd/>
              <w:snapToGrid w:val="0"/>
              <w:spacing w:line="312" w:lineRule="auto"/>
              <w:jc w:val="center"/>
              <w:textAlignment w:val="auto"/>
              <w:rPr>
                <w:rFonts w:hint="default" w:ascii="宋体" w:hAnsi="宋体" w:cs="宋体"/>
                <w:sz w:val="22"/>
                <w:szCs w:val="22"/>
                <w:lang w:val="en-US" w:eastAsia="zh-CN"/>
              </w:rPr>
            </w:pPr>
            <w:r>
              <w:rPr>
                <w:rFonts w:hint="eastAsia" w:ascii="宋体" w:hAnsi="宋体" w:cs="宋体"/>
                <w:sz w:val="22"/>
                <w:szCs w:val="22"/>
                <w:lang w:val="en-US" w:eastAsia="zh-CN"/>
              </w:rPr>
              <w:t>20分</w:t>
            </w:r>
          </w:p>
        </w:tc>
        <w:tc>
          <w:tcPr>
            <w:tcW w:w="5581" w:type="dxa"/>
            <w:tcBorders>
              <w:top w:val="single" w:color="auto" w:sz="4" w:space="0"/>
              <w:left w:val="single" w:color="auto" w:sz="4" w:space="0"/>
              <w:bottom w:val="single" w:color="auto" w:sz="4" w:space="0"/>
              <w:right w:val="single" w:color="auto" w:sz="4" w:space="0"/>
            </w:tcBorders>
            <w:vAlign w:val="center"/>
          </w:tcPr>
          <w:p w14:paraId="243D4919">
            <w:pPr>
              <w:pStyle w:val="7"/>
              <w:keepNext w:val="0"/>
              <w:keepLines w:val="0"/>
              <w:pageBreakBefore w:val="0"/>
              <w:widowControl w:val="0"/>
              <w:kinsoku/>
              <w:wordWrap/>
              <w:overflowPunct/>
              <w:topLinePunct w:val="0"/>
              <w:autoSpaceDE/>
              <w:autoSpaceDN/>
              <w:bidi w:val="0"/>
              <w:adjustRightInd/>
              <w:snapToGrid/>
              <w:spacing w:after="0" w:line="400" w:lineRule="exact"/>
              <w:ind w:firstLine="220" w:firstLineChars="100"/>
              <w:jc w:val="both"/>
              <w:textAlignment w:val="auto"/>
              <w:rPr>
                <w:rFonts w:hint="eastAsia" w:ascii="宋体" w:hAnsi="宋体" w:eastAsia="宋体" w:cs="宋体"/>
                <w:snapToGrid/>
                <w:color w:val="auto"/>
                <w:kern w:val="0"/>
                <w:sz w:val="22"/>
                <w:szCs w:val="22"/>
                <w:lang w:val="en-US" w:eastAsia="zh-CN" w:bidi="ar-SA"/>
              </w:rPr>
            </w:pPr>
            <w:r>
              <w:rPr>
                <w:rFonts w:hint="eastAsia" w:ascii="宋体" w:hAnsi="宋体" w:eastAsia="宋体" w:cs="宋体"/>
                <w:snapToGrid/>
                <w:color w:val="auto"/>
                <w:kern w:val="0"/>
                <w:sz w:val="22"/>
                <w:szCs w:val="22"/>
                <w:lang w:val="en-US" w:eastAsia="zh-CN" w:bidi="ar-SA"/>
              </w:rPr>
              <w:t>比选申请人每提供1个近三年（自递交比选申请文件截止之日（含当日）起往前）的履约经验得10分，本项最高得20分。</w:t>
            </w:r>
          </w:p>
          <w:p w14:paraId="03D06465">
            <w:pPr>
              <w:pStyle w:val="7"/>
              <w:keepNext w:val="0"/>
              <w:keepLines w:val="0"/>
              <w:pageBreakBefore w:val="0"/>
              <w:widowControl w:val="0"/>
              <w:kinsoku/>
              <w:wordWrap/>
              <w:overflowPunct/>
              <w:topLinePunct w:val="0"/>
              <w:autoSpaceDE/>
              <w:autoSpaceDN/>
              <w:bidi w:val="0"/>
              <w:adjustRightInd/>
              <w:snapToGrid/>
              <w:spacing w:after="0" w:line="400" w:lineRule="exact"/>
              <w:ind w:firstLine="220" w:firstLineChars="100"/>
              <w:jc w:val="both"/>
              <w:textAlignment w:val="auto"/>
              <w:rPr>
                <w:rFonts w:hint="eastAsia" w:ascii="宋体" w:hAnsi="宋体" w:eastAsia="宋体" w:cs="宋体"/>
                <w:snapToGrid/>
                <w:color w:val="auto"/>
                <w:kern w:val="0"/>
                <w:sz w:val="22"/>
                <w:szCs w:val="22"/>
                <w:lang w:val="en-US" w:eastAsia="zh-CN" w:bidi="ar-SA"/>
              </w:rPr>
            </w:pPr>
            <w:r>
              <w:rPr>
                <w:rFonts w:hint="eastAsia" w:ascii="宋体" w:hAnsi="宋体" w:eastAsia="宋体" w:cs="宋体"/>
                <w:snapToGrid/>
                <w:color w:val="auto"/>
                <w:kern w:val="0"/>
                <w:sz w:val="22"/>
                <w:szCs w:val="22"/>
                <w:lang w:val="en-US" w:eastAsia="zh-CN" w:bidi="ar-SA"/>
              </w:rPr>
              <w:t>注：1、履约经验是指比选申请人实施的与本项目比选内容相关（相似)类型的服务经验；</w:t>
            </w:r>
          </w:p>
          <w:p w14:paraId="41003CAF">
            <w:pPr>
              <w:pStyle w:val="7"/>
              <w:keepNext w:val="0"/>
              <w:keepLines w:val="0"/>
              <w:pageBreakBefore w:val="0"/>
              <w:widowControl w:val="0"/>
              <w:kinsoku/>
              <w:wordWrap/>
              <w:overflowPunct/>
              <w:topLinePunct w:val="0"/>
              <w:autoSpaceDE/>
              <w:autoSpaceDN/>
              <w:bidi w:val="0"/>
              <w:adjustRightInd/>
              <w:snapToGrid/>
              <w:spacing w:after="0" w:line="400" w:lineRule="exact"/>
              <w:ind w:firstLine="220" w:firstLineChars="100"/>
              <w:jc w:val="both"/>
              <w:textAlignment w:val="auto"/>
              <w:rPr>
                <w:rFonts w:hint="eastAsia" w:ascii="宋体" w:hAnsi="宋体" w:eastAsia="宋体" w:cs="宋体"/>
                <w:snapToGrid/>
                <w:color w:val="auto"/>
                <w:kern w:val="0"/>
                <w:sz w:val="22"/>
                <w:szCs w:val="22"/>
                <w:lang w:val="en-US" w:eastAsia="zh-CN" w:bidi="ar-SA"/>
              </w:rPr>
            </w:pPr>
            <w:r>
              <w:rPr>
                <w:rFonts w:hint="eastAsia" w:ascii="宋体" w:hAnsi="宋体" w:eastAsia="宋体" w:cs="宋体"/>
                <w:snapToGrid/>
                <w:color w:val="auto"/>
                <w:kern w:val="0"/>
                <w:sz w:val="22"/>
                <w:szCs w:val="22"/>
                <w:lang w:val="en-US" w:eastAsia="zh-CN" w:bidi="ar-SA"/>
              </w:rPr>
              <w:t>2、比选申请人提供完整合同（或协议）或中标（或成交或中选）通知书复印件或扫描件（①提供合同（或协议）的，时间以合同（或协议）签订时间为准；②提供中标（或成交或中选）通知书的，以中标（或成交或中选）通知书落款时间为准；③同时提供合同（或协议）或中标（或成交或中选）通知书的，以合同（或协议）签订时间为准）。</w:t>
            </w:r>
          </w:p>
        </w:tc>
        <w:tc>
          <w:tcPr>
            <w:tcW w:w="1225" w:type="dxa"/>
            <w:tcBorders>
              <w:top w:val="single" w:color="auto" w:sz="4" w:space="0"/>
              <w:left w:val="single" w:color="auto" w:sz="4" w:space="0"/>
              <w:bottom w:val="single" w:color="auto" w:sz="4" w:space="0"/>
              <w:right w:val="single" w:color="auto" w:sz="4" w:space="0"/>
            </w:tcBorders>
            <w:vAlign w:val="center"/>
          </w:tcPr>
          <w:p w14:paraId="6A324755">
            <w:pPr>
              <w:wordWrap w:val="0"/>
              <w:spacing w:line="276" w:lineRule="auto"/>
              <w:jc w:val="center"/>
              <w:rPr>
                <w:rFonts w:hint="eastAsia" w:ascii="宋体" w:hAnsi="宋体" w:eastAsia="宋体" w:cs="宋体"/>
                <w:sz w:val="22"/>
                <w:szCs w:val="22"/>
              </w:rPr>
            </w:pPr>
            <w:r>
              <w:rPr>
                <w:rFonts w:hint="eastAsia" w:ascii="宋体" w:hAnsi="宋体" w:cs="宋体"/>
                <w:sz w:val="22"/>
                <w:szCs w:val="22"/>
                <w:lang w:val="en-US" w:eastAsia="zh-CN"/>
              </w:rPr>
              <w:t>客观</w:t>
            </w:r>
            <w:r>
              <w:rPr>
                <w:rFonts w:hint="eastAsia" w:ascii="宋体" w:hAnsi="宋体" w:eastAsia="宋体" w:cs="宋体"/>
                <w:sz w:val="22"/>
                <w:szCs w:val="22"/>
              </w:rPr>
              <w:t>评分因素</w:t>
            </w:r>
          </w:p>
        </w:tc>
      </w:tr>
      <w:tr w14:paraId="3CD83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675" w:type="dxa"/>
            <w:tcBorders>
              <w:top w:val="single" w:color="auto" w:sz="4" w:space="0"/>
              <w:left w:val="single" w:color="auto" w:sz="4" w:space="0"/>
              <w:bottom w:val="single" w:color="auto" w:sz="4" w:space="0"/>
              <w:right w:val="single" w:color="auto" w:sz="4" w:space="0"/>
            </w:tcBorders>
            <w:vAlign w:val="center"/>
          </w:tcPr>
          <w:p w14:paraId="0BC73D75">
            <w:pPr>
              <w:wordWrap w:val="0"/>
              <w:spacing w:line="276" w:lineRule="auto"/>
              <w:jc w:val="center"/>
              <w:rPr>
                <w:rFonts w:hint="default" w:ascii="宋体" w:hAnsi="宋体" w:cs="宋体"/>
                <w:bCs/>
                <w:sz w:val="22"/>
                <w:szCs w:val="22"/>
                <w:lang w:val="en-US" w:eastAsia="zh-CN"/>
              </w:rPr>
            </w:pPr>
            <w:r>
              <w:rPr>
                <w:rFonts w:hint="eastAsia" w:ascii="宋体" w:hAnsi="宋体" w:cs="宋体"/>
                <w:bCs/>
                <w:sz w:val="22"/>
                <w:szCs w:val="22"/>
                <w:lang w:val="en-US" w:eastAsia="zh-CN"/>
              </w:rPr>
              <w:t>6</w:t>
            </w:r>
          </w:p>
        </w:tc>
        <w:tc>
          <w:tcPr>
            <w:tcW w:w="1230" w:type="dxa"/>
            <w:tcBorders>
              <w:top w:val="single" w:color="auto" w:sz="4" w:space="0"/>
              <w:left w:val="single" w:color="auto" w:sz="4" w:space="0"/>
              <w:bottom w:val="single" w:color="auto" w:sz="4" w:space="0"/>
              <w:right w:val="single" w:color="auto" w:sz="4" w:space="0"/>
            </w:tcBorders>
            <w:vAlign w:val="center"/>
          </w:tcPr>
          <w:p w14:paraId="22C9804B">
            <w:pPr>
              <w:keepNext w:val="0"/>
              <w:keepLines w:val="0"/>
              <w:pageBreakBefore w:val="0"/>
              <w:widowControl/>
              <w:kinsoku/>
              <w:overflowPunct/>
              <w:topLinePunct w:val="0"/>
              <w:autoSpaceDE/>
              <w:bidi w:val="0"/>
              <w:adjustRightInd/>
              <w:snapToGrid w:val="0"/>
              <w:spacing w:line="312" w:lineRule="auto"/>
              <w:jc w:val="center"/>
              <w:textAlignment w:val="auto"/>
              <w:rPr>
                <w:rFonts w:hint="default" w:ascii="宋体" w:hAnsi="宋体" w:cs="宋体"/>
                <w:sz w:val="22"/>
                <w:szCs w:val="22"/>
                <w:lang w:val="en-US" w:eastAsia="zh-CN"/>
              </w:rPr>
            </w:pPr>
            <w:r>
              <w:rPr>
                <w:rFonts w:hint="eastAsia" w:ascii="宋体" w:hAnsi="宋体" w:cs="宋体"/>
                <w:sz w:val="22"/>
                <w:szCs w:val="22"/>
                <w:lang w:val="en-US" w:eastAsia="zh-CN"/>
              </w:rPr>
              <w:t>总分</w:t>
            </w:r>
          </w:p>
        </w:tc>
        <w:tc>
          <w:tcPr>
            <w:tcW w:w="7645" w:type="dxa"/>
            <w:gridSpan w:val="3"/>
            <w:tcBorders>
              <w:top w:val="single" w:color="auto" w:sz="4" w:space="0"/>
              <w:left w:val="single" w:color="auto" w:sz="4" w:space="0"/>
              <w:bottom w:val="single" w:color="auto" w:sz="4" w:space="0"/>
              <w:right w:val="single" w:color="auto" w:sz="4" w:space="0"/>
            </w:tcBorders>
            <w:vAlign w:val="center"/>
          </w:tcPr>
          <w:p w14:paraId="45352F6F">
            <w:pPr>
              <w:wordWrap w:val="0"/>
              <w:spacing w:line="276" w:lineRule="auto"/>
              <w:jc w:val="center"/>
              <w:rPr>
                <w:rFonts w:hint="default" w:ascii="宋体" w:hAnsi="宋体" w:cs="宋体"/>
                <w:sz w:val="22"/>
                <w:szCs w:val="22"/>
                <w:lang w:val="en-US" w:eastAsia="zh-CN"/>
              </w:rPr>
            </w:pPr>
            <w:r>
              <w:rPr>
                <w:rFonts w:hint="eastAsia" w:ascii="宋体" w:hAnsi="宋体" w:cs="宋体"/>
                <w:sz w:val="22"/>
                <w:szCs w:val="22"/>
                <w:lang w:val="en-US" w:eastAsia="zh-CN"/>
              </w:rPr>
              <w:t>100分</w:t>
            </w:r>
          </w:p>
        </w:tc>
      </w:tr>
    </w:tbl>
    <w:p w14:paraId="755AA65B"/>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0942FA6"/>
    <w:multiLevelType w:val="multilevel"/>
    <w:tmpl w:val="30942FA6"/>
    <w:lvl w:ilvl="0" w:tentative="0">
      <w:start w:val="1"/>
      <w:numFmt w:val="decimal"/>
      <w:pStyle w:val="5"/>
      <w:lvlText w:val="%1."/>
      <w:lvlJc w:val="left"/>
      <w:pPr>
        <w:ind w:left="425" w:hanging="425"/>
      </w:pPr>
      <w:rPr>
        <w:rFonts w:hint="default"/>
      </w:rPr>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BD03A44"/>
    <w:rsid w:val="07477CE2"/>
    <w:rsid w:val="0BD03A44"/>
    <w:rsid w:val="204F1D62"/>
    <w:rsid w:val="304B7B3C"/>
    <w:rsid w:val="3AA05D94"/>
    <w:rsid w:val="3F7A1606"/>
    <w:rsid w:val="4C9C4712"/>
    <w:rsid w:val="560E65EB"/>
    <w:rsid w:val="5A0E50D6"/>
    <w:rsid w:val="5E203072"/>
    <w:rsid w:val="6BA74ABA"/>
    <w:rsid w:val="6D0D6D85"/>
    <w:rsid w:val="75E26B42"/>
    <w:rsid w:val="781332EF"/>
    <w:rsid w:val="7A1C14E2"/>
    <w:rsid w:val="7B3960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customStyle="1" w:styleId="2">
    <w:name w:val="标题 5（有编号）（绿盟科技）"/>
    <w:basedOn w:val="3"/>
    <w:next w:val="6"/>
    <w:qFormat/>
    <w:uiPriority w:val="0"/>
    <w:pPr>
      <w:keepNext/>
      <w:keepLines/>
      <w:tabs>
        <w:tab w:val="left" w:pos="0"/>
      </w:tabs>
      <w:spacing w:before="120" w:beforeLines="50"/>
      <w:ind w:firstLine="482"/>
      <w:outlineLvl w:val="4"/>
    </w:pPr>
    <w:rPr>
      <w:rFonts w:cs="Arial" w:asciiTheme="minorEastAsia" w:hAnsiTheme="minorEastAsia" w:eastAsiaTheme="minorEastAsia"/>
      <w:b/>
      <w:kern w:val="0"/>
    </w:rPr>
  </w:style>
  <w:style w:type="paragraph" w:customStyle="1" w:styleId="3">
    <w:name w:val="正文1"/>
    <w:next w:val="4"/>
    <w:qFormat/>
    <w:uiPriority w:val="0"/>
    <w:pPr>
      <w:widowControl w:val="0"/>
      <w:adjustRightInd w:val="0"/>
      <w:spacing w:line="312" w:lineRule="atLeast"/>
      <w:jc w:val="both"/>
      <w:textAlignment w:val="baseline"/>
    </w:pPr>
    <w:rPr>
      <w:rFonts w:ascii="宋体" w:hAnsi="Times New Roman" w:eastAsia="宋体" w:cs="Times New Roman"/>
      <w:sz w:val="34"/>
      <w:lang w:val="en-US" w:eastAsia="zh-CN" w:bidi="ar-SA"/>
    </w:rPr>
  </w:style>
  <w:style w:type="paragraph" w:customStyle="1" w:styleId="4">
    <w:name w:val="正文文本1"/>
    <w:basedOn w:val="5"/>
    <w:next w:val="3"/>
    <w:qFormat/>
    <w:uiPriority w:val="0"/>
    <w:pPr>
      <w:spacing w:beforeLines="0" w:afterLines="50"/>
    </w:pPr>
  </w:style>
  <w:style w:type="paragraph" w:customStyle="1" w:styleId="5">
    <w:name w:val="表格内1"/>
    <w:next w:val="4"/>
    <w:qFormat/>
    <w:uiPriority w:val="0"/>
    <w:pPr>
      <w:widowControl w:val="0"/>
      <w:numPr>
        <w:ilvl w:val="0"/>
        <w:numId w:val="1"/>
      </w:numPr>
      <w:jc w:val="both"/>
    </w:pPr>
    <w:rPr>
      <w:rFonts w:ascii="Calibri" w:hAnsi="Calibri" w:eastAsia="宋体" w:cs="黑体"/>
      <w:b/>
      <w:kern w:val="2"/>
      <w:sz w:val="21"/>
      <w:szCs w:val="22"/>
      <w:lang w:val="en-US" w:eastAsia="zh-CN" w:bidi="ar-SA"/>
    </w:rPr>
  </w:style>
  <w:style w:type="paragraph" w:customStyle="1" w:styleId="6">
    <w:name w:val="正文（绿盟科技）"/>
    <w:qFormat/>
    <w:uiPriority w:val="0"/>
    <w:pPr>
      <w:spacing w:line="300" w:lineRule="auto"/>
    </w:pPr>
    <w:rPr>
      <w:rFonts w:ascii="Arial" w:hAnsi="Arial" w:eastAsia="宋体" w:cs="黑体"/>
      <w:sz w:val="21"/>
      <w:szCs w:val="21"/>
      <w:lang w:val="en-US" w:eastAsia="zh-CN" w:bidi="ar-SA"/>
    </w:rPr>
  </w:style>
  <w:style w:type="paragraph" w:styleId="7">
    <w:name w:val="Body Text"/>
    <w:basedOn w:val="1"/>
    <w:next w:val="1"/>
    <w:qFormat/>
    <w:uiPriority w:val="99"/>
    <w:pPr>
      <w:spacing w:after="120"/>
    </w:pPr>
  </w:style>
  <w:style w:type="paragraph" w:customStyle="1" w:styleId="10">
    <w:name w:val="12、表格内左对齐正文"/>
    <w:basedOn w:val="1"/>
    <w:qFormat/>
    <w:uiPriority w:val="0"/>
    <w:pPr>
      <w:tabs>
        <w:tab w:val="left" w:pos="0"/>
      </w:tabs>
      <w:wordWrap w:val="0"/>
      <w:topLinePunct/>
      <w:spacing w:line="360" w:lineRule="exact"/>
      <w:ind w:left="48" w:leftChars="20"/>
    </w:pPr>
    <w:rPr>
      <w:snapToGrid w:val="0"/>
      <w:sz w:val="21"/>
    </w:rPr>
  </w:style>
  <w:style w:type="paragraph" w:customStyle="1" w:styleId="11">
    <w:name w:val="null3"/>
    <w:hidden/>
    <w:qFormat/>
    <w:uiPriority w:val="0"/>
    <w:rPr>
      <w:rFonts w:hint="eastAsia" w:asciiTheme="minorHAnsi" w:hAnsiTheme="minorHAnsi" w:eastAsiaTheme="minorEastAsia" w:cstheme="minorBidi"/>
      <w:lang w:val="en-US" w:eastAsia="zh-Hans"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1266</Words>
  <Characters>1299</Characters>
  <Lines>0</Lines>
  <Paragraphs>0</Paragraphs>
  <TotalTime>4</TotalTime>
  <ScaleCrop>false</ScaleCrop>
  <LinksUpToDate>false</LinksUpToDate>
  <CharactersWithSpaces>1304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2026-09-20T05:30:00Z</dcterms:created>
  <dc:creator>项目编制人员</dc:creator>
  <cp:lastModifiedBy>多明戈</cp:lastModifiedBy>
  <dcterms:modified xsi:type="dcterms:W3CDTF">2026-09-20T06:10:03Z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28E29D525673450697516F16E8296E57_11</vt:lpwstr>
  </property>
  <property fmtid="{D5CDD505-2E9C-101B-9397-08002B2CF9AE}" pid="4" name="KSOTemplateDocerSaveRecord">
    <vt:lpwstr>eyJoZGlkIjoiODZhZTAwOTA3MjEzYzk3ZmQ0NDhiMGJmZjgyNWYyNTYiLCJ1c2VySWQiOiIzOTYzNzY4MDAifQ==</vt:lpwstr>
  </property>
</Properties>
</file>